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D42A" w14:textId="38F6E143" w:rsidR="00E546E2" w:rsidRPr="00550B6B" w:rsidRDefault="00E546E2" w:rsidP="00E546E2">
      <w:pPr>
        <w:spacing w:after="0" w:line="240" w:lineRule="auto"/>
        <w:rPr>
          <w:rFonts w:ascii="Arial" w:hAnsi="Arial" w:cs="Arial"/>
        </w:rPr>
      </w:pPr>
    </w:p>
    <w:p w14:paraId="5106C4E8" w14:textId="77777777" w:rsidR="002C3C91" w:rsidRDefault="002C3C91" w:rsidP="00E546E2">
      <w:pPr>
        <w:rPr>
          <w:rFonts w:ascii="Arial" w:hAnsi="Arial" w:cs="Arial"/>
          <w:b/>
        </w:rPr>
      </w:pPr>
    </w:p>
    <w:p w14:paraId="78961038" w14:textId="0638EDC8" w:rsidR="00E546E2" w:rsidRPr="00550B6B" w:rsidRDefault="00E546E2" w:rsidP="00E546E2">
      <w:pPr>
        <w:rPr>
          <w:rFonts w:ascii="Arial" w:hAnsi="Arial" w:cs="Arial"/>
        </w:rPr>
      </w:pPr>
      <w:r w:rsidRPr="00550B6B">
        <w:rPr>
          <w:rFonts w:ascii="Arial" w:hAnsi="Arial" w:cs="Arial"/>
          <w:b/>
        </w:rPr>
        <w:t>Template</w:t>
      </w:r>
      <w:r w:rsidRPr="00550B6B">
        <w:rPr>
          <w:rFonts w:ascii="Arial" w:hAnsi="Arial" w:cs="Arial"/>
        </w:rPr>
        <w:t>: Information which must be included</w:t>
      </w:r>
    </w:p>
    <w:p w14:paraId="2FF920B1" w14:textId="77777777" w:rsidR="00E546E2" w:rsidRPr="00550B6B" w:rsidRDefault="00E546E2" w:rsidP="00E546E2">
      <w:pPr>
        <w:jc w:val="center"/>
        <w:rPr>
          <w:rFonts w:ascii="Arial" w:hAnsi="Arial" w:cs="Arial"/>
          <w:b/>
        </w:rPr>
      </w:pPr>
      <w:r w:rsidRPr="00550B6B">
        <w:rPr>
          <w:rFonts w:ascii="Arial" w:hAnsi="Arial" w:cs="Arial"/>
          <w:b/>
        </w:rPr>
        <w:t>Transfer of Prescribing Responsibility</w:t>
      </w:r>
    </w:p>
    <w:p w14:paraId="45E04D83" w14:textId="0F4671A8" w:rsidR="00E546E2" w:rsidRPr="00550B6B" w:rsidRDefault="00E546E2" w:rsidP="002C3C91">
      <w:pPr>
        <w:jc w:val="center"/>
        <w:rPr>
          <w:rFonts w:ascii="Arial" w:hAnsi="Arial" w:cs="Arial"/>
        </w:rPr>
      </w:pPr>
      <w:r w:rsidRPr="00550B6B">
        <w:rPr>
          <w:rFonts w:ascii="Arial" w:hAnsi="Arial" w:cs="Arial"/>
          <w:b/>
        </w:rPr>
        <w:t>Direct Oral anticoagulants (DOACs) for the acute treatment and secondary prevention of venous thromboembolism (VTE)</w:t>
      </w:r>
    </w:p>
    <w:p w14:paraId="490A7062" w14:textId="77777777" w:rsidR="00E546E2" w:rsidRPr="00550B6B" w:rsidRDefault="00E546E2" w:rsidP="00E546E2">
      <w:pPr>
        <w:jc w:val="center"/>
        <w:rPr>
          <w:rFonts w:ascii="Arial" w:hAnsi="Arial" w:cs="Arial"/>
        </w:rPr>
      </w:pPr>
    </w:p>
    <w:p w14:paraId="3086389E" w14:textId="77777777" w:rsidR="00E546E2" w:rsidRPr="00550B6B" w:rsidRDefault="00E546E2" w:rsidP="00E546E2">
      <w:pPr>
        <w:rPr>
          <w:rFonts w:ascii="Arial" w:hAnsi="Arial" w:cs="Arial"/>
        </w:rPr>
      </w:pPr>
      <w:r w:rsidRPr="00550B6B">
        <w:rPr>
          <w:rFonts w:ascii="Arial" w:hAnsi="Arial" w:cs="Arial"/>
        </w:rPr>
        <w:t>This template includes the minimum detail necessary to allow the patient’s Primary care Team to take back responsibility for the prescription and monitoring of DOAC prescribed following confirmed diagnosis of VTE.  The Trust can choose to either incorporate this information into their standard ‘Transfer of Care’ Letter or to have it as a separate Template on their system.</w:t>
      </w:r>
    </w:p>
    <w:p w14:paraId="2836D726" w14:textId="7EC8D0A7" w:rsidR="00E546E2" w:rsidRPr="00550B6B" w:rsidRDefault="00E546E2" w:rsidP="00E546E2">
      <w:pPr>
        <w:rPr>
          <w:rFonts w:ascii="Arial" w:hAnsi="Arial" w:cs="Arial"/>
        </w:rPr>
      </w:pPr>
      <w:r w:rsidRPr="00550B6B">
        <w:rPr>
          <w:rFonts w:ascii="Arial" w:hAnsi="Arial" w:cs="Arial"/>
          <w:b/>
        </w:rPr>
        <w:t>Patient Details:</w:t>
      </w:r>
      <w:r w:rsidRPr="00550B6B">
        <w:rPr>
          <w:rFonts w:ascii="Arial" w:hAnsi="Arial" w:cs="Arial"/>
        </w:rPr>
        <w:t xml:space="preserve"> Name, Address, DOB, Hospital Number and NHS number</w:t>
      </w:r>
    </w:p>
    <w:p w14:paraId="5AE886CC" w14:textId="15D3637B" w:rsidR="00E546E2" w:rsidRPr="00550B6B" w:rsidRDefault="00E546E2" w:rsidP="00E546E2">
      <w:pPr>
        <w:rPr>
          <w:rFonts w:ascii="Arial" w:hAnsi="Arial" w:cs="Arial"/>
        </w:rPr>
      </w:pPr>
      <w:r w:rsidRPr="00550B6B">
        <w:rPr>
          <w:rFonts w:ascii="Arial" w:hAnsi="Arial" w:cs="Arial"/>
          <w:b/>
        </w:rPr>
        <w:t>GP Practice details</w:t>
      </w:r>
      <w:r w:rsidRPr="00550B6B">
        <w:rPr>
          <w:rFonts w:ascii="Arial" w:hAnsi="Arial" w:cs="Arial"/>
        </w:rPr>
        <w:t>: Name, Address, Telephone Number, nhs.net e-mail</w:t>
      </w:r>
    </w:p>
    <w:p w14:paraId="25883094" w14:textId="0CB96D91" w:rsidR="00E546E2" w:rsidRPr="00550B6B" w:rsidRDefault="00E546E2" w:rsidP="00E546E2">
      <w:pPr>
        <w:rPr>
          <w:rFonts w:ascii="Arial" w:hAnsi="Arial" w:cs="Arial"/>
        </w:rPr>
      </w:pPr>
      <w:r w:rsidRPr="00550B6B">
        <w:rPr>
          <w:rFonts w:ascii="Arial" w:hAnsi="Arial" w:cs="Arial"/>
          <w:b/>
        </w:rPr>
        <w:t>Consultant details</w:t>
      </w:r>
      <w:r w:rsidRPr="00550B6B">
        <w:rPr>
          <w:rFonts w:ascii="Arial" w:hAnsi="Arial" w:cs="Arial"/>
        </w:rPr>
        <w:t xml:space="preserve">: Name, Organisation, Clinic name, </w:t>
      </w:r>
      <w:proofErr w:type="gramStart"/>
      <w:r w:rsidRPr="00550B6B">
        <w:rPr>
          <w:rFonts w:ascii="Arial" w:hAnsi="Arial" w:cs="Arial"/>
        </w:rPr>
        <w:t>Address,  Telephone</w:t>
      </w:r>
      <w:proofErr w:type="gramEnd"/>
      <w:r w:rsidRPr="00550B6B">
        <w:rPr>
          <w:rFonts w:ascii="Arial" w:hAnsi="Arial" w:cs="Arial"/>
        </w:rPr>
        <w:t xml:space="preserve"> Number, nhs.net email</w:t>
      </w:r>
    </w:p>
    <w:p w14:paraId="74BC69E4" w14:textId="1A4D5074" w:rsidR="00E546E2" w:rsidRPr="00550B6B" w:rsidRDefault="00E546E2" w:rsidP="00E546E2">
      <w:pPr>
        <w:rPr>
          <w:rFonts w:ascii="Arial" w:hAnsi="Arial" w:cs="Arial"/>
          <w:b/>
        </w:rPr>
      </w:pPr>
      <w:r w:rsidRPr="00550B6B">
        <w:rPr>
          <w:rFonts w:ascii="Arial" w:hAnsi="Arial" w:cs="Arial"/>
          <w:b/>
        </w:rPr>
        <w:t>Date:</w:t>
      </w:r>
    </w:p>
    <w:p w14:paraId="7B373EA5" w14:textId="523E6586" w:rsidR="00E546E2" w:rsidRPr="00550B6B" w:rsidRDefault="00E546E2" w:rsidP="00E546E2">
      <w:pPr>
        <w:rPr>
          <w:rFonts w:ascii="Arial" w:hAnsi="Arial" w:cs="Arial"/>
        </w:rPr>
      </w:pPr>
      <w:r w:rsidRPr="00550B6B">
        <w:rPr>
          <w:rFonts w:ascii="Arial" w:hAnsi="Arial" w:cs="Arial"/>
        </w:rPr>
        <w:t xml:space="preserve">Dear Dr                                   </w:t>
      </w:r>
      <w:proofErr w:type="gramStart"/>
      <w:r w:rsidRPr="00550B6B">
        <w:rPr>
          <w:rFonts w:ascii="Arial" w:hAnsi="Arial" w:cs="Arial"/>
        </w:rPr>
        <w:t xml:space="preserve">  ,</w:t>
      </w:r>
      <w:proofErr w:type="gramEnd"/>
    </w:p>
    <w:p w14:paraId="116B32A9" w14:textId="004AFFAB" w:rsidR="00E546E2" w:rsidRPr="00550B6B" w:rsidRDefault="00E546E2" w:rsidP="00E546E2">
      <w:pPr>
        <w:rPr>
          <w:rFonts w:ascii="Arial" w:hAnsi="Arial" w:cs="Arial"/>
        </w:rPr>
      </w:pPr>
      <w:r w:rsidRPr="00550B6B">
        <w:rPr>
          <w:rFonts w:ascii="Arial" w:hAnsi="Arial" w:cs="Arial"/>
        </w:rPr>
        <w:t>This patient has been initiated on a DOAC for:</w:t>
      </w:r>
    </w:p>
    <w:p w14:paraId="58833477" w14:textId="4B96EFEA" w:rsidR="00E546E2" w:rsidRPr="00550B6B" w:rsidRDefault="00E546E2" w:rsidP="002C3C91">
      <w:pPr>
        <w:pStyle w:val="ListParagraph"/>
        <w:numPr>
          <w:ilvl w:val="0"/>
          <w:numId w:val="1"/>
        </w:numPr>
        <w:spacing w:line="360" w:lineRule="auto"/>
        <w:ind w:left="760" w:hanging="357"/>
        <w:rPr>
          <w:rFonts w:ascii="Arial" w:hAnsi="Arial" w:cs="Arial"/>
        </w:rPr>
      </w:pPr>
      <w:r w:rsidRPr="00550B6B">
        <w:rPr>
          <w:rFonts w:ascii="Arial" w:hAnsi="Arial" w:cs="Arial"/>
        </w:rPr>
        <w:t>treatment of DVT which was provoked / unprovoked (delete as appropriate)</w:t>
      </w:r>
    </w:p>
    <w:p w14:paraId="3ADE6265" w14:textId="78D24AAB" w:rsidR="00CB6E0C" w:rsidRDefault="00E546E2" w:rsidP="002C3C91">
      <w:pPr>
        <w:pStyle w:val="ListParagraph"/>
        <w:numPr>
          <w:ilvl w:val="0"/>
          <w:numId w:val="1"/>
        </w:numPr>
        <w:spacing w:line="360" w:lineRule="auto"/>
        <w:ind w:left="760" w:hanging="357"/>
        <w:rPr>
          <w:rFonts w:ascii="Arial" w:hAnsi="Arial" w:cs="Arial"/>
        </w:rPr>
      </w:pPr>
      <w:r w:rsidRPr="00550B6B">
        <w:rPr>
          <w:rFonts w:ascii="Arial" w:hAnsi="Arial" w:cs="Arial"/>
        </w:rPr>
        <w:t>treatment of PE which was provoked / unprovoked (delete as appropriate)</w:t>
      </w:r>
    </w:p>
    <w:p w14:paraId="06A24FF3" w14:textId="1C1AAF7C" w:rsidR="00200DEF" w:rsidRDefault="00E546E2" w:rsidP="002C3C91">
      <w:pPr>
        <w:pStyle w:val="ListParagraph"/>
        <w:numPr>
          <w:ilvl w:val="0"/>
          <w:numId w:val="1"/>
        </w:numPr>
        <w:spacing w:line="360" w:lineRule="auto"/>
        <w:ind w:left="760" w:hanging="357"/>
        <w:rPr>
          <w:rFonts w:ascii="Arial" w:hAnsi="Arial" w:cs="Arial"/>
        </w:rPr>
      </w:pPr>
      <w:r w:rsidRPr="005361DB">
        <w:rPr>
          <w:rFonts w:ascii="Arial" w:hAnsi="Arial" w:cs="Arial"/>
        </w:rPr>
        <w:t>secondary prevention of VTE</w:t>
      </w:r>
    </w:p>
    <w:p w14:paraId="240197B4" w14:textId="7A0CC429" w:rsidR="00633FA1" w:rsidRDefault="00823FD1" w:rsidP="002C3C91">
      <w:pPr>
        <w:pStyle w:val="ListParagraph"/>
        <w:numPr>
          <w:ilvl w:val="0"/>
          <w:numId w:val="1"/>
        </w:numPr>
        <w:spacing w:line="360" w:lineRule="auto"/>
        <w:ind w:left="760" w:hanging="357"/>
        <w:rPr>
          <w:rFonts w:ascii="Arial" w:hAnsi="Arial" w:cs="Arial"/>
        </w:rPr>
      </w:pPr>
      <w:r w:rsidRPr="00200DEF">
        <w:rPr>
          <w:noProof/>
        </w:rPr>
        <mc:AlternateContent>
          <mc:Choice Requires="wps">
            <w:drawing>
              <wp:anchor distT="45720" distB="45720" distL="114300" distR="114300" simplePos="0" relativeHeight="251664384" behindDoc="0" locked="0" layoutInCell="1" allowOverlap="1" wp14:anchorId="184EA12B" wp14:editId="6B7FC6FF">
                <wp:simplePos x="0" y="0"/>
                <wp:positionH relativeFrom="margin">
                  <wp:align>right</wp:align>
                </wp:positionH>
                <wp:positionV relativeFrom="paragraph">
                  <wp:posOffset>776605</wp:posOffset>
                </wp:positionV>
                <wp:extent cx="5895975" cy="2352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352675"/>
                        </a:xfrm>
                        <a:prstGeom prst="rect">
                          <a:avLst/>
                        </a:prstGeom>
                        <a:solidFill>
                          <a:srgbClr val="FFFFFF"/>
                        </a:solidFill>
                        <a:ln w="9525">
                          <a:solidFill>
                            <a:srgbClr val="000000"/>
                          </a:solidFill>
                          <a:miter lim="800000"/>
                          <a:headEnd/>
                          <a:tailEnd/>
                        </a:ln>
                      </wps:spPr>
                      <wps:txbx>
                        <w:txbxContent>
                          <w:p w14:paraId="60850389" w14:textId="77777777" w:rsidR="00633FA1" w:rsidRDefault="00200DEF">
                            <w:r>
                              <w:rPr>
                                <w:b/>
                                <w:bCs/>
                              </w:rPr>
                              <w:t xml:space="preserve"> Additional information: </w:t>
                            </w:r>
                            <w:proofErr w:type="spellStart"/>
                            <w:proofErr w:type="gramStart"/>
                            <w:r w:rsidRPr="00823FD1">
                              <w:t>e</w:t>
                            </w:r>
                            <w:r w:rsidR="00CB6E0C">
                              <w:t>g</w:t>
                            </w:r>
                            <w:proofErr w:type="spellEnd"/>
                            <w:proofErr w:type="gramEnd"/>
                            <w:r w:rsidR="00CB6E0C">
                              <w:t xml:space="preserve"> additional tests planned due to concern there may be a cancer causing the clot.  Also outline what discussions have been had with the patient and their understanding.</w:t>
                            </w:r>
                            <w:r w:rsidR="00633FA1">
                              <w:t xml:space="preserve">   </w:t>
                            </w:r>
                          </w:p>
                          <w:p w14:paraId="23F1C31A" w14:textId="77777777" w:rsidR="00633FA1" w:rsidRDefault="00633FA1"/>
                          <w:p w14:paraId="44AAC0BF" w14:textId="283BCC79" w:rsidR="00200DEF" w:rsidRPr="00E8315A" w:rsidRDefault="00633FA1">
                            <w:r>
                              <w:t>If the VTE was provoked, what was the provoking factor?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EA12B" id="_x0000_t202" coordsize="21600,21600" o:spt="202" path="m,l,21600r21600,l21600,xe">
                <v:stroke joinstyle="miter"/>
                <v:path gradientshapeok="t" o:connecttype="rect"/>
              </v:shapetype>
              <v:shape id="Text Box 2" o:spid="_x0000_s1026" type="#_x0000_t202" style="position:absolute;left:0;text-align:left;margin-left:413.05pt;margin-top:61.15pt;width:464.25pt;height:185.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">
                <v:textbox>
                  <w:txbxContent>
                    <w:p w14:paraId="60850389" w14:textId="77777777" w:rsidR="00633FA1" w:rsidRDefault="00200DEF">
                      <w:r>
                        <w:rPr>
                          <w:b/>
                          <w:bCs/>
                        </w:rPr>
                        <w:t xml:space="preserve"> Additional information: </w:t>
                      </w:r>
                      <w:proofErr w:type="spellStart"/>
                      <w:proofErr w:type="gramStart"/>
                      <w:r w:rsidRPr="00823FD1">
                        <w:t>e</w:t>
                      </w:r>
                      <w:r w:rsidR="00CB6E0C">
                        <w:t>g</w:t>
                      </w:r>
                      <w:proofErr w:type="spellEnd"/>
                      <w:proofErr w:type="gramEnd"/>
                      <w:r w:rsidR="00CB6E0C">
                        <w:t xml:space="preserve"> additional tests planned due to concern there may be a cancer causing the clot.  Also outline what discussions have been had with the patient and their understanding.</w:t>
                      </w:r>
                      <w:r w:rsidR="00633FA1">
                        <w:t xml:space="preserve">   </w:t>
                      </w:r>
                    </w:p>
                    <w:p w14:paraId="23F1C31A" w14:textId="77777777" w:rsidR="00633FA1" w:rsidRDefault="00633FA1"/>
                    <w:p w14:paraId="44AAC0BF" w14:textId="283BCC79" w:rsidR="00200DEF" w:rsidRPr="00E8315A" w:rsidRDefault="00633FA1">
                      <w:r>
                        <w:t>If the VTE was provoked, what was the provoking factor?</w:t>
                      </w:r>
                    </w:p>
                  </w:txbxContent>
                </v:textbox>
                <w10:wrap type="square" anchorx="margin"/>
              </v:shape>
            </w:pict>
          </mc:Fallback>
        </mc:AlternateContent>
      </w:r>
      <w:r w:rsidR="00633FA1">
        <w:rPr>
          <w:rFonts w:ascii="Arial" w:hAnsi="Arial" w:cs="Arial"/>
        </w:rPr>
        <w:t>Management of a VTE which has developed while they have an active diagnosis of cancer (Prescribing will remain with the Cancer centre in this case).  Please state expected duration of DOAC treatment in the ‘additional information’ box below.</w:t>
      </w:r>
    </w:p>
    <w:p w14:paraId="56CE5EDE" w14:textId="77DF4178" w:rsidR="002C3C91" w:rsidRDefault="002C3C91" w:rsidP="002C3C91">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225"/>
        <w:gridCol w:w="1208"/>
        <w:gridCol w:w="2467"/>
        <w:gridCol w:w="2977"/>
      </w:tblGrid>
      <w:tr w:rsidR="00E546E2" w:rsidRPr="00550B6B" w14:paraId="59BABEF7" w14:textId="77777777" w:rsidTr="001B31BE">
        <w:tc>
          <w:tcPr>
            <w:tcW w:w="2041" w:type="dxa"/>
            <w:shd w:val="clear" w:color="auto" w:fill="auto"/>
          </w:tcPr>
          <w:p w14:paraId="690771B0" w14:textId="77777777" w:rsidR="00E546E2" w:rsidRPr="00550B6B" w:rsidRDefault="00E546E2" w:rsidP="007E07DE">
            <w:pPr>
              <w:rPr>
                <w:rFonts w:ascii="Arial" w:hAnsi="Arial" w:cs="Arial"/>
                <w:b/>
              </w:rPr>
            </w:pPr>
            <w:r w:rsidRPr="00550B6B">
              <w:rPr>
                <w:rFonts w:ascii="Arial" w:hAnsi="Arial" w:cs="Arial"/>
                <w:b/>
              </w:rPr>
              <w:t>DOAC (see formulary choices)</w:t>
            </w:r>
          </w:p>
        </w:tc>
        <w:tc>
          <w:tcPr>
            <w:tcW w:w="1225" w:type="dxa"/>
            <w:shd w:val="clear" w:color="auto" w:fill="auto"/>
          </w:tcPr>
          <w:p w14:paraId="5DA14F77" w14:textId="77777777" w:rsidR="00E546E2" w:rsidRPr="00550B6B" w:rsidRDefault="00E546E2" w:rsidP="007E07DE">
            <w:pPr>
              <w:rPr>
                <w:rFonts w:ascii="Arial" w:hAnsi="Arial" w:cs="Arial"/>
                <w:b/>
              </w:rPr>
            </w:pPr>
            <w:r w:rsidRPr="00550B6B">
              <w:rPr>
                <w:rFonts w:ascii="Arial" w:hAnsi="Arial" w:cs="Arial"/>
                <w:b/>
              </w:rPr>
              <w:t>Date initiated</w:t>
            </w:r>
          </w:p>
        </w:tc>
        <w:tc>
          <w:tcPr>
            <w:tcW w:w="1208" w:type="dxa"/>
            <w:shd w:val="clear" w:color="auto" w:fill="auto"/>
          </w:tcPr>
          <w:p w14:paraId="107282F7" w14:textId="77777777" w:rsidR="00E546E2" w:rsidRPr="00550B6B" w:rsidRDefault="00E546E2" w:rsidP="007E07DE">
            <w:pPr>
              <w:rPr>
                <w:rFonts w:ascii="Arial" w:hAnsi="Arial" w:cs="Arial"/>
                <w:b/>
              </w:rPr>
            </w:pPr>
            <w:r w:rsidRPr="00550B6B">
              <w:rPr>
                <w:rFonts w:ascii="Arial" w:hAnsi="Arial" w:cs="Arial"/>
                <w:b/>
              </w:rPr>
              <w:t>Dose on transfer</w:t>
            </w:r>
          </w:p>
        </w:tc>
        <w:tc>
          <w:tcPr>
            <w:tcW w:w="2467" w:type="dxa"/>
            <w:shd w:val="clear" w:color="auto" w:fill="auto"/>
          </w:tcPr>
          <w:p w14:paraId="14170571" w14:textId="77777777" w:rsidR="00E546E2" w:rsidRPr="00550B6B" w:rsidRDefault="00E546E2" w:rsidP="007E07DE">
            <w:pPr>
              <w:rPr>
                <w:rFonts w:ascii="Arial" w:hAnsi="Arial" w:cs="Arial"/>
                <w:b/>
              </w:rPr>
            </w:pPr>
            <w:r w:rsidRPr="00550B6B">
              <w:rPr>
                <w:rFonts w:ascii="Arial" w:hAnsi="Arial" w:cs="Arial"/>
                <w:b/>
              </w:rPr>
              <w:t>Intended Duration of treatment</w:t>
            </w:r>
          </w:p>
        </w:tc>
        <w:tc>
          <w:tcPr>
            <w:tcW w:w="2977" w:type="dxa"/>
            <w:shd w:val="clear" w:color="auto" w:fill="auto"/>
          </w:tcPr>
          <w:p w14:paraId="52386D02" w14:textId="174D4FBA" w:rsidR="00E546E2" w:rsidRPr="00550B6B" w:rsidRDefault="00E546E2" w:rsidP="007E07DE">
            <w:pPr>
              <w:rPr>
                <w:rFonts w:ascii="Arial" w:hAnsi="Arial" w:cs="Arial"/>
                <w:b/>
              </w:rPr>
            </w:pPr>
            <w:r w:rsidRPr="00550B6B">
              <w:rPr>
                <w:rFonts w:ascii="Arial" w:hAnsi="Arial" w:cs="Arial"/>
                <w:b/>
              </w:rPr>
              <w:t>Date of</w:t>
            </w:r>
            <w:r>
              <w:rPr>
                <w:rFonts w:ascii="Arial" w:hAnsi="Arial" w:cs="Arial"/>
                <w:b/>
              </w:rPr>
              <w:t xml:space="preserve"> </w:t>
            </w:r>
            <w:r w:rsidRPr="00550B6B">
              <w:rPr>
                <w:rFonts w:ascii="Arial" w:hAnsi="Arial" w:cs="Arial"/>
                <w:b/>
              </w:rPr>
              <w:t xml:space="preserve">Consultant Review </w:t>
            </w:r>
            <w:r w:rsidR="00823FD1">
              <w:rPr>
                <w:rFonts w:ascii="Arial" w:hAnsi="Arial" w:cs="Arial"/>
                <w:b/>
              </w:rPr>
              <w:t>(3 months)</w:t>
            </w:r>
          </w:p>
        </w:tc>
      </w:tr>
      <w:tr w:rsidR="00E546E2" w:rsidRPr="00550B6B" w14:paraId="5FB42556" w14:textId="77777777" w:rsidTr="001B31BE">
        <w:tc>
          <w:tcPr>
            <w:tcW w:w="2041" w:type="dxa"/>
            <w:shd w:val="clear" w:color="auto" w:fill="auto"/>
          </w:tcPr>
          <w:p w14:paraId="6C3CF061" w14:textId="77777777" w:rsidR="00E546E2" w:rsidRPr="00550B6B" w:rsidRDefault="00E546E2" w:rsidP="007E07DE">
            <w:pPr>
              <w:rPr>
                <w:rFonts w:ascii="Arial" w:hAnsi="Arial" w:cs="Arial"/>
              </w:rPr>
            </w:pPr>
          </w:p>
          <w:p w14:paraId="78DEB398" w14:textId="77777777" w:rsidR="00E546E2" w:rsidRPr="00550B6B" w:rsidRDefault="00E546E2" w:rsidP="007E07DE">
            <w:pPr>
              <w:rPr>
                <w:rFonts w:ascii="Arial" w:hAnsi="Arial" w:cs="Arial"/>
              </w:rPr>
            </w:pPr>
          </w:p>
          <w:p w14:paraId="129CBFE3" w14:textId="77777777" w:rsidR="00E546E2" w:rsidRPr="00550B6B" w:rsidRDefault="00E546E2" w:rsidP="007E07DE">
            <w:pPr>
              <w:rPr>
                <w:rFonts w:ascii="Arial" w:hAnsi="Arial" w:cs="Arial"/>
              </w:rPr>
            </w:pPr>
          </w:p>
        </w:tc>
        <w:tc>
          <w:tcPr>
            <w:tcW w:w="1225" w:type="dxa"/>
            <w:shd w:val="clear" w:color="auto" w:fill="auto"/>
          </w:tcPr>
          <w:p w14:paraId="227A3013" w14:textId="77777777" w:rsidR="00E546E2" w:rsidRPr="00550B6B" w:rsidRDefault="00E546E2" w:rsidP="007E07DE">
            <w:pPr>
              <w:rPr>
                <w:rFonts w:ascii="Arial" w:hAnsi="Arial" w:cs="Arial"/>
              </w:rPr>
            </w:pPr>
          </w:p>
        </w:tc>
        <w:tc>
          <w:tcPr>
            <w:tcW w:w="1208" w:type="dxa"/>
            <w:shd w:val="clear" w:color="auto" w:fill="auto"/>
          </w:tcPr>
          <w:p w14:paraId="4492FCC1" w14:textId="77777777" w:rsidR="00E546E2" w:rsidRPr="00550B6B" w:rsidRDefault="00E546E2" w:rsidP="007E07DE">
            <w:pPr>
              <w:rPr>
                <w:rFonts w:ascii="Arial" w:hAnsi="Arial" w:cs="Arial"/>
              </w:rPr>
            </w:pPr>
          </w:p>
        </w:tc>
        <w:tc>
          <w:tcPr>
            <w:tcW w:w="2467" w:type="dxa"/>
            <w:shd w:val="clear" w:color="auto" w:fill="auto"/>
          </w:tcPr>
          <w:p w14:paraId="55F74643" w14:textId="77777777" w:rsidR="00E546E2" w:rsidRPr="00550B6B" w:rsidRDefault="00E546E2" w:rsidP="00E546E2">
            <w:pPr>
              <w:pStyle w:val="ListParagraph"/>
              <w:numPr>
                <w:ilvl w:val="0"/>
                <w:numId w:val="2"/>
              </w:numPr>
              <w:spacing w:after="0" w:line="240" w:lineRule="auto"/>
              <w:rPr>
                <w:rFonts w:ascii="Arial" w:hAnsi="Arial" w:cs="Arial"/>
              </w:rPr>
            </w:pPr>
            <w:r w:rsidRPr="00550B6B">
              <w:rPr>
                <w:rFonts w:ascii="Arial" w:hAnsi="Arial" w:cs="Arial"/>
              </w:rPr>
              <w:t>3 months</w:t>
            </w:r>
          </w:p>
          <w:p w14:paraId="22A88283" w14:textId="77777777" w:rsidR="00E546E2" w:rsidRPr="00550B6B" w:rsidRDefault="00E546E2" w:rsidP="00E546E2">
            <w:pPr>
              <w:pStyle w:val="ListParagraph"/>
              <w:numPr>
                <w:ilvl w:val="0"/>
                <w:numId w:val="2"/>
              </w:numPr>
              <w:spacing w:after="0" w:line="240" w:lineRule="auto"/>
              <w:rPr>
                <w:rFonts w:ascii="Arial" w:hAnsi="Arial" w:cs="Arial"/>
              </w:rPr>
            </w:pPr>
            <w:r w:rsidRPr="00550B6B">
              <w:rPr>
                <w:rFonts w:ascii="Arial" w:hAnsi="Arial" w:cs="Arial"/>
              </w:rPr>
              <w:t>3 months followed by long-term prophylaxis</w:t>
            </w:r>
          </w:p>
        </w:tc>
        <w:tc>
          <w:tcPr>
            <w:tcW w:w="2977" w:type="dxa"/>
            <w:shd w:val="clear" w:color="auto" w:fill="auto"/>
          </w:tcPr>
          <w:p w14:paraId="35A395BC" w14:textId="77777777" w:rsidR="00E546E2" w:rsidRPr="00550B6B" w:rsidRDefault="00E546E2" w:rsidP="007E07DE">
            <w:pPr>
              <w:rPr>
                <w:rFonts w:ascii="Arial" w:hAnsi="Arial" w:cs="Arial"/>
              </w:rPr>
            </w:pPr>
          </w:p>
        </w:tc>
      </w:tr>
    </w:tbl>
    <w:p w14:paraId="1D093E7E" w14:textId="0D39C157" w:rsidR="00E546E2" w:rsidRPr="00550B6B" w:rsidRDefault="00E546E2" w:rsidP="002C3C91">
      <w:pPr>
        <w:spacing w:after="120"/>
        <w:rPr>
          <w:rFonts w:ascii="Arial" w:hAnsi="Arial" w:cs="Arial"/>
        </w:rPr>
      </w:pPr>
    </w:p>
    <w:p w14:paraId="06AF30FB" w14:textId="466267BA" w:rsidR="00E546E2" w:rsidRPr="00550B6B" w:rsidRDefault="00E546E2" w:rsidP="002C3C91">
      <w:pPr>
        <w:spacing w:line="240" w:lineRule="auto"/>
        <w:rPr>
          <w:rFonts w:ascii="Arial" w:hAnsi="Arial" w:cs="Arial"/>
        </w:rPr>
      </w:pPr>
      <w:r w:rsidRPr="00550B6B">
        <w:rPr>
          <w:rFonts w:ascii="Arial" w:hAnsi="Arial" w:cs="Arial"/>
        </w:rPr>
        <w:t>I have now supplied the first one month of therapy for this patient and am writing to transfer the prescribing responsibility for this patient’s on-going anticoagulation.</w:t>
      </w:r>
    </w:p>
    <w:p w14:paraId="09F6D26C" w14:textId="1AC4EAB5" w:rsidR="00E546E2" w:rsidRPr="00550B6B" w:rsidRDefault="00E546E2" w:rsidP="00E546E2">
      <w:pPr>
        <w:rPr>
          <w:rFonts w:ascii="Arial" w:hAnsi="Arial" w:cs="Arial"/>
        </w:rPr>
      </w:pPr>
      <w:r w:rsidRPr="00550B6B">
        <w:rPr>
          <w:rFonts w:ascii="Arial" w:hAnsi="Arial" w:cs="Arial"/>
        </w:rPr>
        <w:t xml:space="preserve">This transfer of care document should be reviewed in conjunction with the </w:t>
      </w:r>
      <w:hyperlink r:id="rId8" w:history="1">
        <w:r w:rsidRPr="00550B6B">
          <w:rPr>
            <w:rStyle w:val="Hyperlink"/>
            <w:rFonts w:ascii="Arial" w:hAnsi="Arial" w:cs="Arial"/>
          </w:rPr>
          <w:t xml:space="preserve">Guidance: Anticoagulant choice for VTE </w:t>
        </w:r>
        <w:proofErr w:type="gramStart"/>
        <w:r w:rsidRPr="00550B6B">
          <w:rPr>
            <w:rStyle w:val="Hyperlink"/>
            <w:rFonts w:ascii="Arial" w:hAnsi="Arial" w:cs="Arial"/>
          </w:rPr>
          <w:t>treatment  (</w:t>
        </w:r>
        <w:proofErr w:type="gramEnd"/>
        <w:r w:rsidRPr="00550B6B">
          <w:rPr>
            <w:rStyle w:val="Hyperlink"/>
            <w:rFonts w:ascii="Arial" w:hAnsi="Arial" w:cs="Arial"/>
          </w:rPr>
          <w:t>Feb 2021)</w:t>
        </w:r>
      </w:hyperlink>
    </w:p>
    <w:p w14:paraId="45BE773F" w14:textId="04E87646" w:rsidR="00E546E2" w:rsidRDefault="00E546E2" w:rsidP="00E546E2">
      <w:pPr>
        <w:rPr>
          <w:rFonts w:ascii="Arial" w:hAnsi="Arial" w:cs="Arial"/>
        </w:rPr>
      </w:pPr>
      <w:r w:rsidRPr="00550B6B">
        <w:rPr>
          <w:rFonts w:ascii="Arial" w:hAnsi="Arial" w:cs="Arial"/>
        </w:rPr>
        <w:t>All patients receiving DOAC therapy for VTE for the duration of over one year: Primary Care Team to review at least annually, in line with local guidelines.</w:t>
      </w:r>
    </w:p>
    <w:p w14:paraId="36F18940" w14:textId="77777777" w:rsidR="00E546E2" w:rsidRPr="00550B6B" w:rsidRDefault="00E546E2" w:rsidP="00E546E2">
      <w:pPr>
        <w:rPr>
          <w:rFonts w:ascii="Arial" w:hAnsi="Arial" w:cs="Arial"/>
        </w:rPr>
      </w:pPr>
      <w:r>
        <w:rPr>
          <w:rFonts w:ascii="Arial" w:hAnsi="Arial" w:cs="Arial"/>
        </w:rPr>
        <w:t>Most recent results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048"/>
        <w:gridCol w:w="2031"/>
        <w:gridCol w:w="2990"/>
      </w:tblGrid>
      <w:tr w:rsidR="00E546E2" w:rsidRPr="00550B6B" w14:paraId="7EC7E88E" w14:textId="77777777" w:rsidTr="002C3C91">
        <w:tc>
          <w:tcPr>
            <w:tcW w:w="2854" w:type="dxa"/>
            <w:shd w:val="clear" w:color="auto" w:fill="auto"/>
          </w:tcPr>
          <w:p w14:paraId="6B2B1C29" w14:textId="77777777" w:rsidR="00E546E2" w:rsidRPr="001D490F" w:rsidRDefault="00E546E2" w:rsidP="007E07DE">
            <w:pPr>
              <w:pStyle w:val="ListParagraph"/>
              <w:ind w:left="0"/>
              <w:rPr>
                <w:rFonts w:cs="Calibri"/>
                <w:b/>
                <w:sz w:val="20"/>
                <w:szCs w:val="20"/>
              </w:rPr>
            </w:pPr>
            <w:r w:rsidRPr="001D490F">
              <w:rPr>
                <w:rFonts w:cs="Calibri"/>
                <w:b/>
                <w:sz w:val="20"/>
                <w:szCs w:val="20"/>
              </w:rPr>
              <w:t>Test</w:t>
            </w:r>
          </w:p>
        </w:tc>
        <w:tc>
          <w:tcPr>
            <w:tcW w:w="2048" w:type="dxa"/>
            <w:shd w:val="clear" w:color="auto" w:fill="auto"/>
          </w:tcPr>
          <w:p w14:paraId="6FE44EC5" w14:textId="77777777" w:rsidR="00E546E2" w:rsidRPr="001D490F" w:rsidRDefault="00E546E2" w:rsidP="007E07DE">
            <w:pPr>
              <w:pStyle w:val="ListParagraph"/>
              <w:ind w:left="0"/>
              <w:rPr>
                <w:rFonts w:cs="Calibri"/>
                <w:b/>
                <w:sz w:val="20"/>
                <w:szCs w:val="20"/>
              </w:rPr>
            </w:pPr>
            <w:r w:rsidRPr="001D490F">
              <w:rPr>
                <w:rFonts w:cs="Calibri"/>
                <w:b/>
                <w:sz w:val="20"/>
                <w:szCs w:val="20"/>
              </w:rPr>
              <w:t>Result</w:t>
            </w:r>
          </w:p>
        </w:tc>
        <w:tc>
          <w:tcPr>
            <w:tcW w:w="2031" w:type="dxa"/>
            <w:shd w:val="clear" w:color="auto" w:fill="auto"/>
          </w:tcPr>
          <w:p w14:paraId="24AEE1C4" w14:textId="77777777" w:rsidR="00E546E2" w:rsidRPr="001D490F" w:rsidRDefault="00E546E2" w:rsidP="007E07DE">
            <w:pPr>
              <w:pStyle w:val="ListParagraph"/>
              <w:ind w:left="0"/>
              <w:rPr>
                <w:rFonts w:cs="Calibri"/>
                <w:b/>
                <w:sz w:val="20"/>
                <w:szCs w:val="20"/>
              </w:rPr>
            </w:pPr>
            <w:r w:rsidRPr="001D490F">
              <w:rPr>
                <w:rFonts w:cs="Calibri"/>
                <w:b/>
                <w:sz w:val="20"/>
                <w:szCs w:val="20"/>
              </w:rPr>
              <w:t>Date of test</w:t>
            </w:r>
          </w:p>
        </w:tc>
        <w:tc>
          <w:tcPr>
            <w:tcW w:w="2990" w:type="dxa"/>
            <w:shd w:val="clear" w:color="auto" w:fill="auto"/>
          </w:tcPr>
          <w:p w14:paraId="6417DBF7" w14:textId="77777777" w:rsidR="00E546E2" w:rsidRPr="001D490F" w:rsidRDefault="00E546E2" w:rsidP="007E07DE">
            <w:pPr>
              <w:pStyle w:val="ListParagraph"/>
              <w:ind w:left="0"/>
              <w:rPr>
                <w:rFonts w:cs="Calibri"/>
                <w:b/>
                <w:sz w:val="20"/>
                <w:szCs w:val="20"/>
              </w:rPr>
            </w:pPr>
            <w:r w:rsidRPr="001D490F">
              <w:rPr>
                <w:rFonts w:cs="Calibri"/>
                <w:b/>
                <w:sz w:val="20"/>
                <w:szCs w:val="20"/>
              </w:rPr>
              <w:t>Please repeat in</w:t>
            </w:r>
          </w:p>
          <w:p w14:paraId="025E82AD" w14:textId="77777777" w:rsidR="00E546E2" w:rsidRPr="001D490F" w:rsidRDefault="00E546E2" w:rsidP="007E07DE">
            <w:pPr>
              <w:pStyle w:val="ListParagraph"/>
              <w:ind w:left="0"/>
              <w:rPr>
                <w:rFonts w:cs="Calibri"/>
                <w:b/>
                <w:sz w:val="20"/>
                <w:szCs w:val="20"/>
              </w:rPr>
            </w:pPr>
            <w:r w:rsidRPr="001D490F">
              <w:rPr>
                <w:rFonts w:cs="Calibri"/>
                <w:b/>
                <w:sz w:val="20"/>
                <w:szCs w:val="20"/>
              </w:rPr>
              <w:t>(months):</w:t>
            </w:r>
          </w:p>
        </w:tc>
      </w:tr>
      <w:tr w:rsidR="00E546E2" w:rsidRPr="00550B6B" w14:paraId="2BD62E86" w14:textId="77777777" w:rsidTr="002C3C91">
        <w:tc>
          <w:tcPr>
            <w:tcW w:w="2854" w:type="dxa"/>
            <w:shd w:val="clear" w:color="auto" w:fill="auto"/>
          </w:tcPr>
          <w:p w14:paraId="56319B41" w14:textId="77777777" w:rsidR="00E546E2" w:rsidRPr="001D490F" w:rsidRDefault="00E546E2" w:rsidP="007E07DE">
            <w:pPr>
              <w:pStyle w:val="ListParagraph"/>
              <w:ind w:left="0"/>
              <w:rPr>
                <w:rFonts w:cs="Calibri"/>
                <w:b/>
                <w:sz w:val="20"/>
                <w:szCs w:val="20"/>
              </w:rPr>
            </w:pPr>
            <w:r w:rsidRPr="001D490F">
              <w:rPr>
                <w:rFonts w:cs="Calibri"/>
                <w:b/>
                <w:sz w:val="20"/>
                <w:szCs w:val="20"/>
              </w:rPr>
              <w:t>Serum Creatinine (</w:t>
            </w:r>
            <w:proofErr w:type="spellStart"/>
            <w:r w:rsidRPr="001D490F">
              <w:rPr>
                <w:rFonts w:cs="Calibri"/>
                <w:b/>
                <w:sz w:val="20"/>
                <w:szCs w:val="20"/>
              </w:rPr>
              <w:t>mMol</w:t>
            </w:r>
            <w:proofErr w:type="spellEnd"/>
            <w:r w:rsidRPr="001D490F">
              <w:rPr>
                <w:rFonts w:cs="Calibri"/>
                <w:b/>
                <w:sz w:val="20"/>
                <w:szCs w:val="20"/>
              </w:rPr>
              <w:t>/L)</w:t>
            </w:r>
          </w:p>
        </w:tc>
        <w:tc>
          <w:tcPr>
            <w:tcW w:w="2048" w:type="dxa"/>
            <w:shd w:val="clear" w:color="auto" w:fill="auto"/>
          </w:tcPr>
          <w:p w14:paraId="481DED58" w14:textId="77777777" w:rsidR="00E546E2" w:rsidRPr="001D490F" w:rsidRDefault="00E546E2" w:rsidP="007E07DE">
            <w:pPr>
              <w:pStyle w:val="ListParagraph"/>
              <w:ind w:left="0"/>
              <w:rPr>
                <w:rFonts w:cs="Calibri"/>
                <w:sz w:val="20"/>
                <w:szCs w:val="20"/>
              </w:rPr>
            </w:pPr>
          </w:p>
        </w:tc>
        <w:tc>
          <w:tcPr>
            <w:tcW w:w="2031" w:type="dxa"/>
            <w:shd w:val="clear" w:color="auto" w:fill="auto"/>
          </w:tcPr>
          <w:p w14:paraId="3F2735EA" w14:textId="77777777" w:rsidR="00E546E2" w:rsidRPr="001D490F" w:rsidRDefault="00E546E2" w:rsidP="007E07DE">
            <w:pPr>
              <w:pStyle w:val="ListParagraph"/>
              <w:ind w:left="0"/>
              <w:rPr>
                <w:rFonts w:cs="Calibri"/>
                <w:sz w:val="20"/>
                <w:szCs w:val="20"/>
              </w:rPr>
            </w:pPr>
          </w:p>
        </w:tc>
        <w:tc>
          <w:tcPr>
            <w:tcW w:w="2990" w:type="dxa"/>
            <w:shd w:val="clear" w:color="auto" w:fill="auto"/>
          </w:tcPr>
          <w:p w14:paraId="5E4C2FE4" w14:textId="77777777" w:rsidR="00E546E2" w:rsidRPr="001D490F" w:rsidRDefault="00E546E2" w:rsidP="007E07DE">
            <w:pPr>
              <w:pStyle w:val="ListParagraph"/>
              <w:ind w:left="0"/>
              <w:rPr>
                <w:rFonts w:cs="Calibri"/>
                <w:sz w:val="20"/>
                <w:szCs w:val="20"/>
              </w:rPr>
            </w:pPr>
          </w:p>
        </w:tc>
      </w:tr>
      <w:tr w:rsidR="00E546E2" w:rsidRPr="00550B6B" w14:paraId="6F0128C6" w14:textId="77777777" w:rsidTr="002C3C91">
        <w:tc>
          <w:tcPr>
            <w:tcW w:w="2854" w:type="dxa"/>
            <w:shd w:val="clear" w:color="auto" w:fill="auto"/>
          </w:tcPr>
          <w:p w14:paraId="52C38559" w14:textId="77777777" w:rsidR="00E546E2" w:rsidRPr="001D490F" w:rsidRDefault="00E546E2" w:rsidP="007E07DE">
            <w:pPr>
              <w:pStyle w:val="ListParagraph"/>
              <w:ind w:left="0"/>
              <w:rPr>
                <w:rFonts w:cs="Calibri"/>
                <w:b/>
                <w:sz w:val="20"/>
                <w:szCs w:val="20"/>
              </w:rPr>
            </w:pPr>
            <w:r w:rsidRPr="001D490F">
              <w:rPr>
                <w:rFonts w:cs="Calibri"/>
                <w:b/>
                <w:sz w:val="20"/>
                <w:szCs w:val="20"/>
              </w:rPr>
              <w:t>Creatinine clearance (</w:t>
            </w:r>
            <w:proofErr w:type="spellStart"/>
            <w:r w:rsidRPr="001D490F">
              <w:rPr>
                <w:rFonts w:cs="Calibri"/>
                <w:b/>
                <w:sz w:val="20"/>
                <w:szCs w:val="20"/>
              </w:rPr>
              <w:t>CrCl</w:t>
            </w:r>
            <w:proofErr w:type="spellEnd"/>
            <w:r w:rsidRPr="001D490F">
              <w:rPr>
                <w:rFonts w:cs="Calibri"/>
                <w:b/>
                <w:sz w:val="20"/>
                <w:szCs w:val="20"/>
              </w:rPr>
              <w:t>) (mL/min)</w:t>
            </w:r>
          </w:p>
        </w:tc>
        <w:tc>
          <w:tcPr>
            <w:tcW w:w="2048" w:type="dxa"/>
            <w:shd w:val="clear" w:color="auto" w:fill="auto"/>
          </w:tcPr>
          <w:p w14:paraId="31DF89CA" w14:textId="77777777" w:rsidR="00E546E2" w:rsidRPr="001D490F" w:rsidRDefault="00E546E2" w:rsidP="007E07DE">
            <w:pPr>
              <w:pStyle w:val="ListParagraph"/>
              <w:ind w:left="0"/>
              <w:rPr>
                <w:rFonts w:cs="Calibri"/>
                <w:sz w:val="20"/>
                <w:szCs w:val="20"/>
              </w:rPr>
            </w:pPr>
          </w:p>
        </w:tc>
        <w:tc>
          <w:tcPr>
            <w:tcW w:w="2031" w:type="dxa"/>
            <w:shd w:val="clear" w:color="auto" w:fill="auto"/>
          </w:tcPr>
          <w:p w14:paraId="67B5D7C8" w14:textId="77777777" w:rsidR="00E546E2" w:rsidRPr="001D490F" w:rsidRDefault="00E546E2" w:rsidP="007E07DE">
            <w:pPr>
              <w:pStyle w:val="ListParagraph"/>
              <w:ind w:left="0"/>
              <w:rPr>
                <w:rFonts w:cs="Calibri"/>
                <w:sz w:val="20"/>
                <w:szCs w:val="20"/>
              </w:rPr>
            </w:pPr>
          </w:p>
        </w:tc>
        <w:tc>
          <w:tcPr>
            <w:tcW w:w="2990" w:type="dxa"/>
            <w:shd w:val="clear" w:color="auto" w:fill="auto"/>
          </w:tcPr>
          <w:p w14:paraId="462405D9" w14:textId="77777777" w:rsidR="00E546E2" w:rsidRPr="001D490F" w:rsidRDefault="00E546E2" w:rsidP="007E07DE">
            <w:pPr>
              <w:pStyle w:val="ListParagraph"/>
              <w:ind w:left="0"/>
              <w:rPr>
                <w:rFonts w:cs="Calibri"/>
                <w:sz w:val="20"/>
                <w:szCs w:val="20"/>
              </w:rPr>
            </w:pPr>
          </w:p>
        </w:tc>
      </w:tr>
      <w:tr w:rsidR="00200DEF" w:rsidRPr="00550B6B" w14:paraId="66D9DB77" w14:textId="77777777" w:rsidTr="002C3C91">
        <w:tc>
          <w:tcPr>
            <w:tcW w:w="2854" w:type="dxa"/>
            <w:shd w:val="clear" w:color="auto" w:fill="auto"/>
          </w:tcPr>
          <w:p w14:paraId="6D6C7F0B" w14:textId="3BC81C9B" w:rsidR="00200DEF" w:rsidRPr="001D490F" w:rsidRDefault="00200DEF" w:rsidP="007E07DE">
            <w:pPr>
              <w:pStyle w:val="ListParagraph"/>
              <w:ind w:left="0"/>
              <w:rPr>
                <w:rFonts w:cs="Calibri"/>
                <w:b/>
                <w:sz w:val="20"/>
                <w:szCs w:val="20"/>
              </w:rPr>
            </w:pPr>
            <w:r>
              <w:rPr>
                <w:rFonts w:cs="Calibri"/>
                <w:b/>
                <w:sz w:val="20"/>
                <w:szCs w:val="20"/>
              </w:rPr>
              <w:t>Body weight (kg)</w:t>
            </w:r>
          </w:p>
        </w:tc>
        <w:tc>
          <w:tcPr>
            <w:tcW w:w="2048" w:type="dxa"/>
            <w:shd w:val="clear" w:color="auto" w:fill="auto"/>
          </w:tcPr>
          <w:p w14:paraId="7652ABAC" w14:textId="77777777" w:rsidR="00200DEF" w:rsidRPr="001D490F" w:rsidRDefault="00200DEF" w:rsidP="007E07DE">
            <w:pPr>
              <w:pStyle w:val="ListParagraph"/>
              <w:ind w:left="0"/>
              <w:rPr>
                <w:rFonts w:cs="Calibri"/>
                <w:sz w:val="20"/>
                <w:szCs w:val="20"/>
              </w:rPr>
            </w:pPr>
          </w:p>
        </w:tc>
        <w:tc>
          <w:tcPr>
            <w:tcW w:w="2031" w:type="dxa"/>
            <w:shd w:val="clear" w:color="auto" w:fill="auto"/>
          </w:tcPr>
          <w:p w14:paraId="5C90EE3A" w14:textId="77777777" w:rsidR="00200DEF" w:rsidRPr="001D490F" w:rsidRDefault="00200DEF" w:rsidP="007E07DE">
            <w:pPr>
              <w:pStyle w:val="ListParagraph"/>
              <w:ind w:left="0"/>
              <w:rPr>
                <w:rFonts w:cs="Calibri"/>
                <w:sz w:val="20"/>
                <w:szCs w:val="20"/>
              </w:rPr>
            </w:pPr>
          </w:p>
        </w:tc>
        <w:tc>
          <w:tcPr>
            <w:tcW w:w="2990" w:type="dxa"/>
            <w:shd w:val="clear" w:color="auto" w:fill="auto"/>
          </w:tcPr>
          <w:p w14:paraId="3F1013F1" w14:textId="77777777" w:rsidR="00200DEF" w:rsidRPr="001D490F" w:rsidRDefault="00200DEF" w:rsidP="007E07DE">
            <w:pPr>
              <w:pStyle w:val="ListParagraph"/>
              <w:ind w:left="0"/>
              <w:rPr>
                <w:rFonts w:cs="Calibri"/>
                <w:sz w:val="20"/>
                <w:szCs w:val="20"/>
              </w:rPr>
            </w:pPr>
          </w:p>
        </w:tc>
      </w:tr>
      <w:tr w:rsidR="00200DEF" w:rsidRPr="00550B6B" w14:paraId="42FCF17D" w14:textId="77777777" w:rsidTr="002C3C91">
        <w:tc>
          <w:tcPr>
            <w:tcW w:w="2854" w:type="dxa"/>
            <w:shd w:val="clear" w:color="auto" w:fill="auto"/>
          </w:tcPr>
          <w:p w14:paraId="18900F0F" w14:textId="1E753EAC" w:rsidR="00200DEF" w:rsidRPr="00200DEF" w:rsidRDefault="00200DEF" w:rsidP="007E07DE">
            <w:pPr>
              <w:pStyle w:val="ListParagraph"/>
              <w:ind w:left="0"/>
              <w:rPr>
                <w:rFonts w:cs="Calibri"/>
                <w:b/>
                <w:sz w:val="20"/>
                <w:szCs w:val="20"/>
              </w:rPr>
            </w:pPr>
            <w:r>
              <w:rPr>
                <w:rFonts w:cs="Calibri"/>
                <w:b/>
                <w:sz w:val="20"/>
                <w:szCs w:val="20"/>
              </w:rPr>
              <w:t>BMI (kg/m</w:t>
            </w:r>
            <w:r>
              <w:rPr>
                <w:rFonts w:cs="Calibri"/>
                <w:b/>
                <w:sz w:val="20"/>
                <w:szCs w:val="20"/>
                <w:vertAlign w:val="superscript"/>
              </w:rPr>
              <w:t>2</w:t>
            </w:r>
            <w:r>
              <w:rPr>
                <w:rFonts w:cs="Calibri"/>
                <w:b/>
                <w:sz w:val="20"/>
                <w:szCs w:val="20"/>
              </w:rPr>
              <w:t>)</w:t>
            </w:r>
          </w:p>
        </w:tc>
        <w:tc>
          <w:tcPr>
            <w:tcW w:w="2048" w:type="dxa"/>
            <w:shd w:val="clear" w:color="auto" w:fill="auto"/>
          </w:tcPr>
          <w:p w14:paraId="699E6014" w14:textId="77777777" w:rsidR="00200DEF" w:rsidRPr="001D490F" w:rsidRDefault="00200DEF" w:rsidP="007E07DE">
            <w:pPr>
              <w:pStyle w:val="ListParagraph"/>
              <w:ind w:left="0"/>
              <w:rPr>
                <w:rFonts w:cs="Calibri"/>
                <w:sz w:val="20"/>
                <w:szCs w:val="20"/>
              </w:rPr>
            </w:pPr>
          </w:p>
        </w:tc>
        <w:tc>
          <w:tcPr>
            <w:tcW w:w="2031" w:type="dxa"/>
            <w:shd w:val="clear" w:color="auto" w:fill="auto"/>
          </w:tcPr>
          <w:p w14:paraId="7BD8D0DB" w14:textId="77777777" w:rsidR="00200DEF" w:rsidRPr="001D490F" w:rsidRDefault="00200DEF" w:rsidP="007E07DE">
            <w:pPr>
              <w:pStyle w:val="ListParagraph"/>
              <w:ind w:left="0"/>
              <w:rPr>
                <w:rFonts w:cs="Calibri"/>
                <w:sz w:val="20"/>
                <w:szCs w:val="20"/>
              </w:rPr>
            </w:pPr>
          </w:p>
        </w:tc>
        <w:tc>
          <w:tcPr>
            <w:tcW w:w="2990" w:type="dxa"/>
            <w:shd w:val="clear" w:color="auto" w:fill="auto"/>
          </w:tcPr>
          <w:p w14:paraId="47D1497C" w14:textId="77777777" w:rsidR="00200DEF" w:rsidRPr="001D490F" w:rsidRDefault="00200DEF" w:rsidP="007E07DE">
            <w:pPr>
              <w:pStyle w:val="ListParagraph"/>
              <w:ind w:left="0"/>
              <w:rPr>
                <w:rFonts w:cs="Calibri"/>
                <w:sz w:val="20"/>
                <w:szCs w:val="20"/>
              </w:rPr>
            </w:pPr>
          </w:p>
        </w:tc>
      </w:tr>
      <w:tr w:rsidR="00E546E2" w:rsidRPr="00550B6B" w14:paraId="1537FC41" w14:textId="77777777" w:rsidTr="002C3C91">
        <w:tc>
          <w:tcPr>
            <w:tcW w:w="2854" w:type="dxa"/>
            <w:shd w:val="clear" w:color="auto" w:fill="auto"/>
          </w:tcPr>
          <w:p w14:paraId="1A86370F" w14:textId="77777777" w:rsidR="00E546E2" w:rsidRPr="001D490F" w:rsidRDefault="00E546E2" w:rsidP="007E07DE">
            <w:pPr>
              <w:pStyle w:val="ListParagraph"/>
              <w:ind w:left="0"/>
              <w:rPr>
                <w:rFonts w:cs="Calibri"/>
                <w:b/>
                <w:sz w:val="20"/>
                <w:szCs w:val="20"/>
              </w:rPr>
            </w:pPr>
            <w:r w:rsidRPr="001D490F">
              <w:rPr>
                <w:rFonts w:cs="Calibri"/>
                <w:b/>
                <w:sz w:val="20"/>
                <w:szCs w:val="20"/>
              </w:rPr>
              <w:t>Haemoglobin (g/dL)</w:t>
            </w:r>
          </w:p>
        </w:tc>
        <w:tc>
          <w:tcPr>
            <w:tcW w:w="2048" w:type="dxa"/>
            <w:shd w:val="clear" w:color="auto" w:fill="auto"/>
          </w:tcPr>
          <w:p w14:paraId="29FAE922" w14:textId="77777777" w:rsidR="00E546E2" w:rsidRPr="001D490F" w:rsidRDefault="00E546E2" w:rsidP="007E07DE">
            <w:pPr>
              <w:pStyle w:val="ListParagraph"/>
              <w:ind w:left="0"/>
              <w:rPr>
                <w:rFonts w:cs="Calibri"/>
                <w:sz w:val="20"/>
                <w:szCs w:val="20"/>
              </w:rPr>
            </w:pPr>
          </w:p>
        </w:tc>
        <w:tc>
          <w:tcPr>
            <w:tcW w:w="2031" w:type="dxa"/>
            <w:shd w:val="clear" w:color="auto" w:fill="auto"/>
          </w:tcPr>
          <w:p w14:paraId="19CE770D" w14:textId="77777777" w:rsidR="00E546E2" w:rsidRPr="001D490F" w:rsidRDefault="00E546E2" w:rsidP="007E07DE">
            <w:pPr>
              <w:pStyle w:val="ListParagraph"/>
              <w:ind w:left="0"/>
              <w:rPr>
                <w:rFonts w:cs="Calibri"/>
                <w:sz w:val="20"/>
                <w:szCs w:val="20"/>
              </w:rPr>
            </w:pPr>
          </w:p>
        </w:tc>
        <w:tc>
          <w:tcPr>
            <w:tcW w:w="2990" w:type="dxa"/>
            <w:shd w:val="clear" w:color="auto" w:fill="auto"/>
          </w:tcPr>
          <w:p w14:paraId="20B9DBF5" w14:textId="77777777" w:rsidR="00E546E2" w:rsidRPr="001D490F" w:rsidRDefault="00E546E2" w:rsidP="007E07DE">
            <w:pPr>
              <w:pStyle w:val="ListParagraph"/>
              <w:ind w:left="0"/>
              <w:rPr>
                <w:rFonts w:cs="Calibri"/>
                <w:sz w:val="20"/>
                <w:szCs w:val="20"/>
              </w:rPr>
            </w:pPr>
          </w:p>
        </w:tc>
      </w:tr>
      <w:tr w:rsidR="00E546E2" w:rsidRPr="00550B6B" w14:paraId="60C5EB6A" w14:textId="77777777" w:rsidTr="002C3C91">
        <w:tc>
          <w:tcPr>
            <w:tcW w:w="2854" w:type="dxa"/>
            <w:shd w:val="clear" w:color="auto" w:fill="auto"/>
          </w:tcPr>
          <w:p w14:paraId="1FD51093" w14:textId="1A5601A8" w:rsidR="00E546E2" w:rsidRPr="001D490F" w:rsidRDefault="00E546E2" w:rsidP="007E07DE">
            <w:pPr>
              <w:pStyle w:val="ListParagraph"/>
              <w:ind w:left="0"/>
              <w:rPr>
                <w:rFonts w:cs="Calibri"/>
                <w:b/>
                <w:sz w:val="20"/>
                <w:szCs w:val="20"/>
              </w:rPr>
            </w:pPr>
          </w:p>
        </w:tc>
        <w:tc>
          <w:tcPr>
            <w:tcW w:w="2048" w:type="dxa"/>
            <w:shd w:val="clear" w:color="auto" w:fill="auto"/>
          </w:tcPr>
          <w:p w14:paraId="4BE98B67" w14:textId="77777777" w:rsidR="00E546E2" w:rsidRPr="001D490F" w:rsidRDefault="00E546E2" w:rsidP="007E07DE">
            <w:pPr>
              <w:pStyle w:val="ListParagraph"/>
              <w:ind w:left="0"/>
              <w:rPr>
                <w:rFonts w:cs="Calibri"/>
                <w:sz w:val="20"/>
                <w:szCs w:val="20"/>
              </w:rPr>
            </w:pPr>
          </w:p>
        </w:tc>
        <w:tc>
          <w:tcPr>
            <w:tcW w:w="2031" w:type="dxa"/>
            <w:shd w:val="clear" w:color="auto" w:fill="auto"/>
          </w:tcPr>
          <w:p w14:paraId="5995CA81" w14:textId="77777777" w:rsidR="00E546E2" w:rsidRPr="001D490F" w:rsidRDefault="00E546E2" w:rsidP="007E07DE">
            <w:pPr>
              <w:pStyle w:val="ListParagraph"/>
              <w:ind w:left="0"/>
              <w:rPr>
                <w:rFonts w:cs="Calibri"/>
                <w:sz w:val="20"/>
                <w:szCs w:val="20"/>
              </w:rPr>
            </w:pPr>
          </w:p>
        </w:tc>
        <w:tc>
          <w:tcPr>
            <w:tcW w:w="2990" w:type="dxa"/>
            <w:shd w:val="clear" w:color="auto" w:fill="auto"/>
          </w:tcPr>
          <w:p w14:paraId="628699C4" w14:textId="77777777" w:rsidR="00E546E2" w:rsidRPr="001D490F" w:rsidRDefault="00E546E2" w:rsidP="007E07DE">
            <w:pPr>
              <w:pStyle w:val="ListParagraph"/>
              <w:ind w:left="0"/>
              <w:rPr>
                <w:rFonts w:cs="Calibri"/>
                <w:sz w:val="20"/>
                <w:szCs w:val="20"/>
              </w:rPr>
            </w:pPr>
          </w:p>
        </w:tc>
      </w:tr>
    </w:tbl>
    <w:p w14:paraId="23E51AF9" w14:textId="77777777" w:rsidR="00E546E2" w:rsidRDefault="00E546E2" w:rsidP="002C3C91">
      <w:pPr>
        <w:pStyle w:val="ListParagraph"/>
        <w:ind w:left="0"/>
        <w:rPr>
          <w:rFonts w:ascii="Arial" w:hAnsi="Arial" w:cs="Arial"/>
        </w:rPr>
      </w:pPr>
      <w:r w:rsidRPr="00550B6B">
        <w:rPr>
          <w:rFonts w:ascii="Arial" w:hAnsi="Arial" w:cs="Arial"/>
        </w:rPr>
        <w:t xml:space="preserve">eGFR should </w:t>
      </w:r>
      <w:r w:rsidRPr="00E122FF">
        <w:rPr>
          <w:rFonts w:ascii="Arial" w:hAnsi="Arial" w:cs="Arial"/>
          <w:b/>
        </w:rPr>
        <w:t>not</w:t>
      </w:r>
      <w:r w:rsidRPr="00550B6B">
        <w:rPr>
          <w:rFonts w:ascii="Arial" w:hAnsi="Arial" w:cs="Arial"/>
        </w:rPr>
        <w:t xml:space="preserve"> be used to guide dosing decisions.  </w:t>
      </w:r>
    </w:p>
    <w:p w14:paraId="274897A7" w14:textId="77777777" w:rsidR="00E546E2" w:rsidRPr="00550B6B" w:rsidRDefault="00E546E2" w:rsidP="002C3C91">
      <w:pPr>
        <w:pStyle w:val="ListParagraph"/>
        <w:ind w:left="0"/>
        <w:rPr>
          <w:rFonts w:ascii="Arial" w:hAnsi="Arial" w:cs="Arial"/>
        </w:rPr>
      </w:pPr>
      <w:proofErr w:type="spellStart"/>
      <w:r w:rsidRPr="00550B6B">
        <w:rPr>
          <w:rFonts w:ascii="Arial" w:hAnsi="Arial" w:cs="Arial"/>
        </w:rPr>
        <w:t>CrCl</w:t>
      </w:r>
      <w:proofErr w:type="spellEnd"/>
      <w:r w:rsidRPr="00550B6B">
        <w:rPr>
          <w:rFonts w:ascii="Arial" w:hAnsi="Arial" w:cs="Arial"/>
        </w:rPr>
        <w:t xml:space="preserve"> must be estimated using the </w:t>
      </w:r>
      <w:hyperlink r:id="rId9" w:history="1">
        <w:r w:rsidRPr="00550B6B">
          <w:rPr>
            <w:rStyle w:val="Hyperlink"/>
            <w:rFonts w:ascii="Arial" w:hAnsi="Arial" w:cs="Arial"/>
          </w:rPr>
          <w:t>Cockcroft-Gault equation calculator</w:t>
        </w:r>
      </w:hyperlink>
      <w:r w:rsidRPr="00550B6B">
        <w:rPr>
          <w:rFonts w:ascii="Arial" w:hAnsi="Arial" w:cs="Arial"/>
        </w:rPr>
        <w:t xml:space="preserve"> and the patient’s </w:t>
      </w:r>
      <w:r w:rsidRPr="00550B6B">
        <w:rPr>
          <w:rFonts w:ascii="Arial" w:hAnsi="Arial" w:cs="Arial"/>
          <w:b/>
        </w:rPr>
        <w:t>actual</w:t>
      </w:r>
      <w:r w:rsidRPr="00550B6B">
        <w:rPr>
          <w:rFonts w:ascii="Arial" w:hAnsi="Arial" w:cs="Arial"/>
        </w:rPr>
        <w:t xml:space="preserve"> body weight.</w:t>
      </w:r>
    </w:p>
    <w:p w14:paraId="26EEA94D" w14:textId="77777777" w:rsidR="00E546E2" w:rsidRDefault="00E546E2" w:rsidP="00E546E2">
      <w:pPr>
        <w:pStyle w:val="ListParagraph"/>
        <w:rPr>
          <w:rFonts w:ascii="Arial" w:hAnsi="Arial" w:cs="Arial"/>
        </w:rPr>
      </w:pPr>
    </w:p>
    <w:p w14:paraId="2CE1BB53" w14:textId="77777777" w:rsidR="00E546E2" w:rsidRPr="00E122FF" w:rsidRDefault="00E546E2" w:rsidP="002C3C91">
      <w:pPr>
        <w:pStyle w:val="ListParagraph"/>
        <w:spacing w:after="240" w:line="360" w:lineRule="auto"/>
        <w:ind w:left="0"/>
        <w:jc w:val="both"/>
        <w:rPr>
          <w:rFonts w:ascii="Arial" w:hAnsi="Arial" w:cs="Arial"/>
          <w:b/>
        </w:rPr>
      </w:pPr>
      <w:r w:rsidRPr="00E122FF">
        <w:rPr>
          <w:rFonts w:ascii="Arial" w:hAnsi="Arial" w:cs="Arial"/>
          <w:b/>
        </w:rPr>
        <w:t>Anti-platelet Therapy: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5050"/>
      </w:tblGrid>
      <w:tr w:rsidR="00E546E2" w:rsidRPr="00550B6B" w14:paraId="1E0A53DF" w14:textId="77777777" w:rsidTr="002C3C91">
        <w:tc>
          <w:tcPr>
            <w:tcW w:w="9923" w:type="dxa"/>
            <w:gridSpan w:val="2"/>
            <w:shd w:val="clear" w:color="auto" w:fill="auto"/>
          </w:tcPr>
          <w:p w14:paraId="6ADC3C83" w14:textId="77777777" w:rsidR="00E546E2" w:rsidRPr="00550B6B" w:rsidRDefault="00E546E2" w:rsidP="007E07DE">
            <w:pPr>
              <w:pStyle w:val="ListParagraph"/>
              <w:ind w:left="0"/>
              <w:rPr>
                <w:rFonts w:ascii="Arial" w:hAnsi="Arial" w:cs="Arial"/>
              </w:rPr>
            </w:pPr>
            <w:r w:rsidRPr="00550B6B">
              <w:rPr>
                <w:rFonts w:ascii="Arial" w:hAnsi="Arial" w:cs="Arial"/>
              </w:rPr>
              <w:t>Is the patient on anti-platelet therapy:        Yes / No</w:t>
            </w:r>
          </w:p>
        </w:tc>
      </w:tr>
      <w:tr w:rsidR="00E546E2" w:rsidRPr="00550B6B" w14:paraId="0DCDD909" w14:textId="77777777" w:rsidTr="002C3C91">
        <w:tc>
          <w:tcPr>
            <w:tcW w:w="4873" w:type="dxa"/>
            <w:shd w:val="clear" w:color="auto" w:fill="auto"/>
          </w:tcPr>
          <w:p w14:paraId="0D40433E" w14:textId="77777777" w:rsidR="00E546E2" w:rsidRPr="00550B6B" w:rsidRDefault="00E546E2" w:rsidP="007E07DE">
            <w:pPr>
              <w:pStyle w:val="ListParagraph"/>
              <w:ind w:left="0"/>
              <w:rPr>
                <w:rFonts w:ascii="Arial" w:hAnsi="Arial" w:cs="Arial"/>
              </w:rPr>
            </w:pPr>
            <w:r w:rsidRPr="00550B6B">
              <w:rPr>
                <w:rFonts w:ascii="Arial" w:hAnsi="Arial" w:cs="Arial"/>
              </w:rPr>
              <w:t>Anti-platelets in use:</w:t>
            </w:r>
          </w:p>
          <w:p w14:paraId="756061F5" w14:textId="77777777" w:rsidR="00E546E2" w:rsidRPr="00550B6B" w:rsidRDefault="00E546E2" w:rsidP="007E07DE">
            <w:pPr>
              <w:pStyle w:val="ListParagraph"/>
              <w:ind w:left="0"/>
              <w:rPr>
                <w:rFonts w:ascii="Arial" w:hAnsi="Arial" w:cs="Arial"/>
              </w:rPr>
            </w:pPr>
          </w:p>
        </w:tc>
        <w:tc>
          <w:tcPr>
            <w:tcW w:w="5050" w:type="dxa"/>
            <w:shd w:val="clear" w:color="auto" w:fill="auto"/>
          </w:tcPr>
          <w:p w14:paraId="0D9AFC4D" w14:textId="77777777" w:rsidR="00E546E2" w:rsidRPr="00550B6B" w:rsidRDefault="00E546E2" w:rsidP="007E07DE">
            <w:pPr>
              <w:pStyle w:val="ListParagraph"/>
              <w:ind w:left="0"/>
              <w:rPr>
                <w:rFonts w:ascii="Arial" w:hAnsi="Arial" w:cs="Arial"/>
              </w:rPr>
            </w:pPr>
            <w:r w:rsidRPr="00550B6B">
              <w:rPr>
                <w:rFonts w:ascii="Arial" w:hAnsi="Arial" w:cs="Arial"/>
              </w:rPr>
              <w:t>Indication:</w:t>
            </w:r>
          </w:p>
        </w:tc>
      </w:tr>
      <w:tr w:rsidR="00E546E2" w:rsidRPr="00550B6B" w14:paraId="3F24A86D" w14:textId="77777777" w:rsidTr="002C3C91">
        <w:tc>
          <w:tcPr>
            <w:tcW w:w="9923" w:type="dxa"/>
            <w:gridSpan w:val="2"/>
            <w:shd w:val="clear" w:color="auto" w:fill="auto"/>
          </w:tcPr>
          <w:p w14:paraId="2D0BF78D" w14:textId="77777777" w:rsidR="00E546E2" w:rsidRPr="00550B6B" w:rsidRDefault="00E546E2" w:rsidP="007E07DE">
            <w:pPr>
              <w:pStyle w:val="ListParagraph"/>
              <w:ind w:left="0"/>
              <w:rPr>
                <w:rFonts w:ascii="Arial" w:hAnsi="Arial" w:cs="Arial"/>
              </w:rPr>
            </w:pPr>
            <w:r w:rsidRPr="00550B6B">
              <w:rPr>
                <w:rFonts w:ascii="Arial" w:hAnsi="Arial" w:cs="Arial"/>
              </w:rPr>
              <w:t>Is the antiplatelet to be withheld whilst on anticoagulation:               Yes / No</w:t>
            </w:r>
          </w:p>
        </w:tc>
      </w:tr>
      <w:tr w:rsidR="00E546E2" w:rsidRPr="00550B6B" w14:paraId="37104516" w14:textId="77777777" w:rsidTr="002C3C91">
        <w:tc>
          <w:tcPr>
            <w:tcW w:w="9923" w:type="dxa"/>
            <w:gridSpan w:val="2"/>
            <w:shd w:val="clear" w:color="auto" w:fill="auto"/>
          </w:tcPr>
          <w:p w14:paraId="7C5E2D05" w14:textId="4F54DAF4" w:rsidR="00E546E2" w:rsidRDefault="00E546E2" w:rsidP="007E07DE">
            <w:pPr>
              <w:pStyle w:val="ListParagraph"/>
              <w:ind w:left="0"/>
              <w:rPr>
                <w:rFonts w:ascii="Arial" w:hAnsi="Arial" w:cs="Arial"/>
              </w:rPr>
            </w:pPr>
            <w:r w:rsidRPr="00550B6B">
              <w:rPr>
                <w:rFonts w:ascii="Arial" w:hAnsi="Arial" w:cs="Arial"/>
              </w:rPr>
              <w:t>Comments (</w:t>
            </w:r>
            <w:proofErr w:type="spellStart"/>
            <w:r w:rsidRPr="00550B6B">
              <w:rPr>
                <w:rFonts w:ascii="Arial" w:hAnsi="Arial" w:cs="Arial"/>
              </w:rPr>
              <w:t>incl</w:t>
            </w:r>
            <w:proofErr w:type="spellEnd"/>
            <w:r w:rsidRPr="00550B6B">
              <w:rPr>
                <w:rFonts w:ascii="Arial" w:hAnsi="Arial" w:cs="Arial"/>
              </w:rPr>
              <w:t xml:space="preserve"> plan for antiplatelet therapy)</w:t>
            </w:r>
          </w:p>
          <w:p w14:paraId="05609F1B" w14:textId="66C487D4" w:rsidR="002C3C91" w:rsidRDefault="002C3C91" w:rsidP="007E07DE">
            <w:pPr>
              <w:pStyle w:val="ListParagraph"/>
              <w:ind w:left="0"/>
              <w:rPr>
                <w:rFonts w:ascii="Arial" w:hAnsi="Arial" w:cs="Arial"/>
              </w:rPr>
            </w:pPr>
          </w:p>
          <w:p w14:paraId="1C9BB2A0" w14:textId="77777777" w:rsidR="002C3C91" w:rsidRPr="00550B6B" w:rsidRDefault="002C3C91" w:rsidP="007E07DE">
            <w:pPr>
              <w:pStyle w:val="ListParagraph"/>
              <w:ind w:left="0"/>
              <w:rPr>
                <w:rFonts w:ascii="Arial" w:hAnsi="Arial" w:cs="Arial"/>
              </w:rPr>
            </w:pPr>
          </w:p>
          <w:p w14:paraId="43F20756" w14:textId="77777777" w:rsidR="00E546E2" w:rsidRPr="00550B6B" w:rsidRDefault="00E546E2" w:rsidP="007E07DE">
            <w:pPr>
              <w:pStyle w:val="ListParagraph"/>
              <w:ind w:left="0"/>
              <w:rPr>
                <w:rFonts w:ascii="Arial" w:hAnsi="Arial" w:cs="Arial"/>
              </w:rPr>
            </w:pPr>
          </w:p>
        </w:tc>
      </w:tr>
    </w:tbl>
    <w:p w14:paraId="0637247A" w14:textId="19B87DE3" w:rsidR="00E546E2" w:rsidRPr="00550B6B" w:rsidRDefault="002C3C91" w:rsidP="00E546E2">
      <w:pPr>
        <w:pStyle w:val="ListParagraph"/>
        <w:rPr>
          <w:rFonts w:ascii="Arial" w:hAnsi="Arial" w:cs="Arial"/>
        </w:rPr>
      </w:pPr>
      <w:r>
        <w:rPr>
          <w:rFonts w:ascii="Arial" w:hAnsi="Arial" w:cs="Arial"/>
          <w:noProof/>
          <w:lang w:eastAsia="en-GB"/>
        </w:rPr>
        <w:lastRenderedPageBreak/>
        <mc:AlternateContent>
          <mc:Choice Requires="wps">
            <w:drawing>
              <wp:anchor distT="45720" distB="45720" distL="114300" distR="114300" simplePos="0" relativeHeight="251662336" behindDoc="0" locked="0" layoutInCell="1" allowOverlap="1" wp14:anchorId="637D4CA9" wp14:editId="660B5C1F">
                <wp:simplePos x="0" y="0"/>
                <wp:positionH relativeFrom="margin">
                  <wp:align>right</wp:align>
                </wp:positionH>
                <wp:positionV relativeFrom="paragraph">
                  <wp:posOffset>304800</wp:posOffset>
                </wp:positionV>
                <wp:extent cx="6191250" cy="1962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62150"/>
                        </a:xfrm>
                        <a:prstGeom prst="rect">
                          <a:avLst/>
                        </a:prstGeom>
                        <a:solidFill>
                          <a:srgbClr val="FFFFFF"/>
                        </a:solidFill>
                        <a:ln w="9525">
                          <a:solidFill>
                            <a:srgbClr val="000000"/>
                          </a:solidFill>
                          <a:miter lim="800000"/>
                          <a:headEnd/>
                          <a:tailEnd/>
                        </a:ln>
                      </wps:spPr>
                      <wps:txbx>
                        <w:txbxContent>
                          <w:p w14:paraId="0798C34E" w14:textId="77777777" w:rsidR="00E546E2" w:rsidRDefault="00E546E2" w:rsidP="00E546E2">
                            <w:r>
                              <w:t>Other relevant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D4CA9" id="_x0000_s1027" type="#_x0000_t202" style="position:absolute;left:0;text-align:left;margin-left:436.3pt;margin-top:24pt;width:487.5pt;height:154.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">
                <v:textbox>
                  <w:txbxContent>
                    <w:p w14:paraId="0798C34E" w14:textId="77777777" w:rsidR="00E546E2" w:rsidRDefault="00E546E2" w:rsidP="00E546E2">
                      <w:r>
                        <w:t>Other relevant information:</w:t>
                      </w:r>
                    </w:p>
                  </w:txbxContent>
                </v:textbox>
                <w10:wrap type="square" anchorx="margin"/>
              </v:shape>
            </w:pict>
          </mc:Fallback>
        </mc:AlternateContent>
      </w:r>
    </w:p>
    <w:p w14:paraId="4B10F1CB" w14:textId="48590242" w:rsidR="00823FD1" w:rsidRDefault="00823FD1" w:rsidP="00823FD1">
      <w:pPr>
        <w:pStyle w:val="ListParagraph"/>
        <w:ind w:left="1440"/>
        <w:rPr>
          <w:rFonts w:ascii="Arial" w:hAnsi="Arial" w:cs="Arial"/>
        </w:rPr>
      </w:pPr>
    </w:p>
    <w:p w14:paraId="524B9EDB" w14:textId="77777777" w:rsidR="002C3C91" w:rsidRDefault="002C3C91" w:rsidP="00823FD1">
      <w:pPr>
        <w:pStyle w:val="ListParagraph"/>
        <w:ind w:left="1440"/>
        <w:rPr>
          <w:rFonts w:ascii="Arial" w:hAnsi="Arial" w:cs="Arial"/>
        </w:rPr>
      </w:pPr>
    </w:p>
    <w:p w14:paraId="033183E7" w14:textId="11FA5163" w:rsidR="00E546E2" w:rsidRPr="00823FD1" w:rsidRDefault="00E546E2" w:rsidP="002C3C91">
      <w:pPr>
        <w:pStyle w:val="ListParagraph"/>
        <w:numPr>
          <w:ilvl w:val="0"/>
          <w:numId w:val="4"/>
        </w:numPr>
        <w:spacing w:after="240" w:line="360" w:lineRule="auto"/>
        <w:ind w:left="357" w:hanging="357"/>
        <w:rPr>
          <w:rFonts w:ascii="Arial" w:hAnsi="Arial" w:cs="Arial"/>
        </w:rPr>
      </w:pPr>
      <w:r w:rsidRPr="00823FD1">
        <w:rPr>
          <w:rFonts w:ascii="Arial" w:hAnsi="Arial" w:cs="Arial"/>
        </w:rPr>
        <w:t xml:space="preserve">I confirm that I have prescribed in line with the current </w:t>
      </w:r>
      <w:hyperlink r:id="rId10" w:history="1">
        <w:r w:rsidRPr="00823FD1">
          <w:rPr>
            <w:rStyle w:val="Hyperlink"/>
            <w:rFonts w:ascii="Arial" w:hAnsi="Arial" w:cs="Arial"/>
          </w:rPr>
          <w:t>Local VTE Guidance</w:t>
        </w:r>
      </w:hyperlink>
    </w:p>
    <w:p w14:paraId="1D9DF416" w14:textId="77777777" w:rsidR="00E546E2" w:rsidRPr="00550B6B" w:rsidRDefault="00E546E2" w:rsidP="002C3C91">
      <w:pPr>
        <w:pStyle w:val="ListParagraph"/>
        <w:numPr>
          <w:ilvl w:val="0"/>
          <w:numId w:val="3"/>
        </w:numPr>
        <w:spacing w:after="240" w:line="360" w:lineRule="auto"/>
        <w:ind w:left="357" w:hanging="357"/>
        <w:rPr>
          <w:rFonts w:ascii="Arial" w:hAnsi="Arial" w:cs="Arial"/>
        </w:rPr>
      </w:pPr>
      <w:r w:rsidRPr="00550B6B">
        <w:rPr>
          <w:rFonts w:ascii="Arial" w:hAnsi="Arial" w:cs="Arial"/>
        </w:rPr>
        <w:t>I confirm that the patient has been made aware of the benefits and risks of DOAC therapy, including risks of both major and minor bleeding, and that they know how to seek medical help should bleeding occur.</w:t>
      </w:r>
    </w:p>
    <w:p w14:paraId="4FA9A831" w14:textId="77777777" w:rsidR="00E546E2" w:rsidRPr="00550B6B" w:rsidRDefault="00E546E2" w:rsidP="002C3C91">
      <w:pPr>
        <w:pStyle w:val="ListParagraph"/>
        <w:numPr>
          <w:ilvl w:val="0"/>
          <w:numId w:val="3"/>
        </w:numPr>
        <w:spacing w:after="240" w:line="360" w:lineRule="auto"/>
        <w:ind w:left="357" w:hanging="357"/>
        <w:rPr>
          <w:rFonts w:ascii="Arial" w:hAnsi="Arial" w:cs="Arial"/>
        </w:rPr>
      </w:pPr>
      <w:r w:rsidRPr="00550B6B">
        <w:rPr>
          <w:rFonts w:ascii="Arial" w:hAnsi="Arial" w:cs="Arial"/>
        </w:rPr>
        <w:t>I confirm that an anticoagulation car</w:t>
      </w:r>
      <w:r>
        <w:rPr>
          <w:rFonts w:ascii="Arial" w:hAnsi="Arial" w:cs="Arial"/>
        </w:rPr>
        <w:t>d</w:t>
      </w:r>
      <w:r w:rsidRPr="00550B6B">
        <w:rPr>
          <w:rFonts w:ascii="Arial" w:hAnsi="Arial" w:cs="Arial"/>
        </w:rPr>
        <w:t xml:space="preserve"> and/or medic-alert bracelet have been provided</w:t>
      </w:r>
    </w:p>
    <w:p w14:paraId="3AA6331F" w14:textId="77777777" w:rsidR="00E546E2" w:rsidRPr="00550B6B" w:rsidRDefault="00E546E2" w:rsidP="002C3C91">
      <w:pPr>
        <w:pStyle w:val="ListParagraph"/>
        <w:numPr>
          <w:ilvl w:val="0"/>
          <w:numId w:val="3"/>
        </w:numPr>
        <w:spacing w:after="240" w:line="360" w:lineRule="auto"/>
        <w:ind w:left="357" w:hanging="357"/>
        <w:rPr>
          <w:rFonts w:ascii="Arial" w:hAnsi="Arial" w:cs="Arial"/>
        </w:rPr>
      </w:pPr>
      <w:r w:rsidRPr="00550B6B">
        <w:rPr>
          <w:rFonts w:ascii="Arial" w:hAnsi="Arial" w:cs="Arial"/>
        </w:rPr>
        <w:t>I confirm that the patient has consented to treatment</w:t>
      </w:r>
    </w:p>
    <w:p w14:paraId="15040581" w14:textId="77777777" w:rsidR="00E546E2" w:rsidRPr="00550B6B" w:rsidRDefault="00E546E2" w:rsidP="002C3C91">
      <w:pPr>
        <w:pStyle w:val="ListParagraph"/>
        <w:numPr>
          <w:ilvl w:val="0"/>
          <w:numId w:val="3"/>
        </w:numPr>
        <w:spacing w:after="240" w:line="360" w:lineRule="auto"/>
        <w:ind w:left="357" w:hanging="357"/>
        <w:rPr>
          <w:rFonts w:ascii="Arial" w:hAnsi="Arial" w:cs="Arial"/>
        </w:rPr>
      </w:pPr>
      <w:r w:rsidRPr="00550B6B">
        <w:rPr>
          <w:rFonts w:ascii="Arial" w:hAnsi="Arial" w:cs="Arial"/>
        </w:rPr>
        <w:t>For female patients of child-bearing age: I have explained the risks of falling pregnant whilst on this treatment and recommended appropriate contraceptive measures are taken</w:t>
      </w:r>
    </w:p>
    <w:p w14:paraId="5653E627" w14:textId="77777777" w:rsidR="00E546E2" w:rsidRPr="00550B6B" w:rsidRDefault="00E546E2" w:rsidP="00E546E2">
      <w:pPr>
        <w:rPr>
          <w:rFonts w:ascii="Arial" w:hAnsi="Arial" w:cs="Arial"/>
          <w:b/>
        </w:rPr>
      </w:pPr>
      <w:r w:rsidRPr="00550B6B">
        <w:rPr>
          <w:rFonts w:ascii="Arial" w:hAnsi="Arial" w:cs="Arial"/>
          <w:b/>
        </w:rPr>
        <w:t>Signed:</w:t>
      </w:r>
      <w:r w:rsidRPr="00550B6B">
        <w:rPr>
          <w:rFonts w:ascii="Arial" w:hAnsi="Arial" w:cs="Arial"/>
          <w:b/>
        </w:rPr>
        <w:tab/>
      </w:r>
      <w:r w:rsidRPr="00550B6B">
        <w:rPr>
          <w:rFonts w:ascii="Arial" w:hAnsi="Arial" w:cs="Arial"/>
          <w:b/>
        </w:rPr>
        <w:tab/>
      </w:r>
      <w:r w:rsidRPr="00550B6B">
        <w:rPr>
          <w:rFonts w:ascii="Arial" w:hAnsi="Arial" w:cs="Arial"/>
          <w:b/>
        </w:rPr>
        <w:tab/>
      </w:r>
      <w:r w:rsidRPr="00550B6B">
        <w:rPr>
          <w:rFonts w:ascii="Arial" w:hAnsi="Arial" w:cs="Arial"/>
          <w:b/>
        </w:rPr>
        <w:tab/>
      </w:r>
      <w:r w:rsidRPr="00550B6B">
        <w:rPr>
          <w:rFonts w:ascii="Arial" w:hAnsi="Arial" w:cs="Arial"/>
          <w:b/>
        </w:rPr>
        <w:tab/>
        <w:t>Name of Clinician:</w:t>
      </w:r>
      <w:r w:rsidRPr="00550B6B">
        <w:rPr>
          <w:rFonts w:ascii="Arial" w:hAnsi="Arial" w:cs="Arial"/>
          <w:b/>
        </w:rPr>
        <w:tab/>
      </w:r>
      <w:r w:rsidRPr="00550B6B">
        <w:rPr>
          <w:rFonts w:ascii="Arial" w:hAnsi="Arial" w:cs="Arial"/>
          <w:b/>
        </w:rPr>
        <w:tab/>
      </w:r>
      <w:r w:rsidRPr="00550B6B">
        <w:rPr>
          <w:rFonts w:ascii="Arial" w:hAnsi="Arial" w:cs="Arial"/>
          <w:b/>
        </w:rPr>
        <w:tab/>
        <w:t>Date:</w:t>
      </w:r>
    </w:p>
    <w:p w14:paraId="3236726D" w14:textId="77777777" w:rsidR="002C3C91" w:rsidRDefault="002C3C91" w:rsidP="00E546E2">
      <w:pPr>
        <w:rPr>
          <w:rFonts w:ascii="Arial" w:hAnsi="Arial" w:cs="Arial"/>
        </w:rPr>
      </w:pPr>
    </w:p>
    <w:p w14:paraId="72CF9B12" w14:textId="77777777" w:rsidR="002C3C91" w:rsidRDefault="002C3C91" w:rsidP="00E546E2">
      <w:pPr>
        <w:rPr>
          <w:rFonts w:ascii="Arial" w:hAnsi="Arial" w:cs="Arial"/>
        </w:rPr>
      </w:pPr>
    </w:p>
    <w:p w14:paraId="6BB13A29" w14:textId="6DD0801C" w:rsidR="00E546E2" w:rsidRPr="00550B6B" w:rsidRDefault="00E546E2" w:rsidP="00E546E2">
      <w:pPr>
        <w:rPr>
          <w:rFonts w:ascii="Arial" w:hAnsi="Arial" w:cs="Arial"/>
        </w:rPr>
      </w:pPr>
      <w:r w:rsidRPr="00550B6B">
        <w:rPr>
          <w:rFonts w:ascii="Arial" w:hAnsi="Arial" w:cs="Arial"/>
          <w:noProof/>
        </w:rPr>
        <mc:AlternateContent>
          <mc:Choice Requires="wps">
            <w:drawing>
              <wp:anchor distT="45720" distB="45720" distL="114300" distR="114300" simplePos="0" relativeHeight="251661312" behindDoc="0" locked="0" layoutInCell="1" allowOverlap="1" wp14:anchorId="58F2CCC1" wp14:editId="5D0CFBF9">
                <wp:simplePos x="0" y="0"/>
                <wp:positionH relativeFrom="column">
                  <wp:align>center</wp:align>
                </wp:positionH>
                <wp:positionV relativeFrom="paragraph">
                  <wp:posOffset>395605</wp:posOffset>
                </wp:positionV>
                <wp:extent cx="7126605" cy="774065"/>
                <wp:effectExtent l="13970" t="5080" r="1270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6605" cy="774065"/>
                        </a:xfrm>
                        <a:prstGeom prst="rect">
                          <a:avLst/>
                        </a:prstGeom>
                        <a:solidFill>
                          <a:srgbClr val="FFFFFF"/>
                        </a:solidFill>
                        <a:ln w="9525">
                          <a:solidFill>
                            <a:srgbClr val="000000"/>
                          </a:solidFill>
                          <a:miter lim="800000"/>
                          <a:headEnd/>
                          <a:tailEnd/>
                        </a:ln>
                      </wps:spPr>
                      <wps:txbx>
                        <w:txbxContent>
                          <w:p w14:paraId="4F797A06" w14:textId="14D45145" w:rsidR="00E546E2" w:rsidRPr="00980A3B" w:rsidRDefault="00E546E2" w:rsidP="00E546E2">
                            <w:pPr>
                              <w:spacing w:after="0"/>
                              <w:rPr>
                                <w:sz w:val="16"/>
                                <w:szCs w:val="16"/>
                              </w:rPr>
                            </w:pPr>
                            <w:r w:rsidRPr="00E122FF">
                              <w:rPr>
                                <w:sz w:val="16"/>
                                <w:szCs w:val="16"/>
                              </w:rPr>
                              <w:t>Approval Date:</w:t>
                            </w:r>
                            <w:r w:rsidRPr="00E122FF">
                              <w:rPr>
                                <w:sz w:val="16"/>
                                <w:szCs w:val="16"/>
                              </w:rPr>
                              <w:tab/>
                            </w:r>
                            <w:proofErr w:type="gramStart"/>
                            <w:r w:rsidR="00823FD1">
                              <w:rPr>
                                <w:sz w:val="16"/>
                                <w:szCs w:val="16"/>
                              </w:rPr>
                              <w:t>September,</w:t>
                            </w:r>
                            <w:proofErr w:type="gramEnd"/>
                            <w:r w:rsidR="00823FD1">
                              <w:rPr>
                                <w:sz w:val="16"/>
                                <w:szCs w:val="16"/>
                              </w:rPr>
                              <w:t xml:space="preserve"> 2021</w:t>
                            </w:r>
                            <w:r w:rsidRPr="00E122FF">
                              <w:rPr>
                                <w:sz w:val="16"/>
                                <w:szCs w:val="16"/>
                              </w:rPr>
                              <w:tab/>
                            </w:r>
                            <w:r w:rsidRPr="00E122FF">
                              <w:rPr>
                                <w:sz w:val="16"/>
                                <w:szCs w:val="16"/>
                              </w:rPr>
                              <w:tab/>
                            </w:r>
                            <w:r w:rsidRPr="00E122FF">
                              <w:rPr>
                                <w:sz w:val="16"/>
                                <w:szCs w:val="16"/>
                              </w:rPr>
                              <w:tab/>
                            </w:r>
                            <w:r w:rsidRPr="00E122FF">
                              <w:rPr>
                                <w:sz w:val="16"/>
                                <w:szCs w:val="16"/>
                              </w:rPr>
                              <w:tab/>
                            </w:r>
                            <w:r w:rsidRPr="00E122FF">
                              <w:rPr>
                                <w:sz w:val="16"/>
                                <w:szCs w:val="16"/>
                              </w:rPr>
                              <w:tab/>
                            </w:r>
                            <w:r w:rsidRPr="00980A3B">
                              <w:rPr>
                                <w:sz w:val="16"/>
                                <w:szCs w:val="16"/>
                              </w:rPr>
                              <w:t>Review Date:</w:t>
                            </w:r>
                            <w:r w:rsidR="00823FD1">
                              <w:rPr>
                                <w:sz w:val="16"/>
                                <w:szCs w:val="16"/>
                              </w:rPr>
                              <w:tab/>
                              <w:t>September, 2024</w:t>
                            </w:r>
                          </w:p>
                          <w:p w14:paraId="024B2042" w14:textId="77777777" w:rsidR="00E546E2" w:rsidRPr="00E122FF" w:rsidRDefault="00E546E2" w:rsidP="00E546E2">
                            <w:pPr>
                              <w:spacing w:after="0"/>
                              <w:rPr>
                                <w:color w:val="FF0000"/>
                                <w:sz w:val="16"/>
                                <w:szCs w:val="16"/>
                              </w:rPr>
                            </w:pPr>
                            <w:r w:rsidRPr="00980A3B">
                              <w:rPr>
                                <w:color w:val="FF0000"/>
                                <w:sz w:val="16"/>
                                <w:szCs w:val="16"/>
                              </w:rPr>
                              <w:t>Not to be used for commercial marketing</w:t>
                            </w:r>
                            <w:r w:rsidRPr="00E122FF">
                              <w:rPr>
                                <w:color w:val="FF0000"/>
                                <w:sz w:val="16"/>
                                <w:szCs w:val="16"/>
                              </w:rPr>
                              <w:t xml:space="preserve"> purposes.  Strictly for use within the NHS.  NOTE that all DOACs are available in line with NICE TAs</w:t>
                            </w:r>
                          </w:p>
                          <w:p w14:paraId="172142EB" w14:textId="77777777" w:rsidR="00E546E2" w:rsidRPr="00E122FF" w:rsidRDefault="00E546E2" w:rsidP="00E546E2">
                            <w:pPr>
                              <w:tabs>
                                <w:tab w:val="left" w:pos="2580"/>
                                <w:tab w:val="center" w:pos="4513"/>
                                <w:tab w:val="center" w:pos="7722"/>
                                <w:tab w:val="right" w:pos="9781"/>
                              </w:tabs>
                              <w:spacing w:after="0" w:line="240" w:lineRule="auto"/>
                              <w:ind w:right="-613"/>
                              <w:rPr>
                                <w:rFonts w:eastAsia="Times New Roman"/>
                                <w:color w:val="3366FF"/>
                                <w:sz w:val="16"/>
                                <w:szCs w:val="16"/>
                                <w:lang w:eastAsia="en-GB"/>
                              </w:rPr>
                            </w:pPr>
                            <w:r w:rsidRPr="00E122FF">
                              <w:rPr>
                                <w:rFonts w:eastAsia="Times New Roman"/>
                                <w:color w:val="3366FF"/>
                                <w:sz w:val="16"/>
                                <w:szCs w:val="16"/>
                                <w:lang w:eastAsia="en-GB"/>
                              </w:rPr>
                              <w:t xml:space="preserve">Surrey Heartlands Area Prescribing Committee. A partnership between NHS organisations in Surrey Heartlands Clinical Commissioning Group (the ICPs of East Surrey, </w:t>
                            </w:r>
                          </w:p>
                          <w:p w14:paraId="7210FB06" w14:textId="77777777" w:rsidR="00E546E2" w:rsidRPr="00E122FF" w:rsidRDefault="00E546E2" w:rsidP="00E546E2">
                            <w:pPr>
                              <w:tabs>
                                <w:tab w:val="left" w:pos="2580"/>
                                <w:tab w:val="center" w:pos="4513"/>
                                <w:tab w:val="center" w:pos="7722"/>
                                <w:tab w:val="right" w:pos="9781"/>
                              </w:tabs>
                              <w:spacing w:after="0" w:line="240" w:lineRule="auto"/>
                              <w:ind w:right="-613"/>
                              <w:rPr>
                                <w:rFonts w:eastAsia="Times New Roman"/>
                                <w:color w:val="3366FF"/>
                                <w:sz w:val="16"/>
                                <w:szCs w:val="16"/>
                                <w:lang w:eastAsia="en-GB"/>
                              </w:rPr>
                            </w:pPr>
                            <w:r w:rsidRPr="00E122FF">
                              <w:rPr>
                                <w:rFonts w:eastAsia="Times New Roman"/>
                                <w:color w:val="3366FF"/>
                                <w:sz w:val="16"/>
                                <w:szCs w:val="16"/>
                                <w:lang w:eastAsia="en-GB"/>
                              </w:rPr>
                              <w:t>Guildford and Waverley, Northwest Surrey and Surrey Heath) and Ashford and St Peter’s and the Royal Surrey NHS Acute Foundation Trusts. This guidance was originally developed by Southwest London Medicines’ Optimisation Group (2020) and has been adapted with their permission.</w:t>
                            </w:r>
                          </w:p>
                          <w:p w14:paraId="107B1B3B" w14:textId="77777777" w:rsidR="00E546E2" w:rsidRDefault="00E546E2" w:rsidP="00E546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2CCC1" id="Text Box 1" o:spid="_x0000_s1028" type="#_x0000_t202" style="position:absolute;margin-left:0;margin-top:31.15pt;width:561.15pt;height:60.95pt;z-index:2516613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">
                <v:textbox>
                  <w:txbxContent>
                    <w:p w14:paraId="4F797A06" w14:textId="14D45145" w:rsidR="00E546E2" w:rsidRPr="00980A3B" w:rsidRDefault="00E546E2" w:rsidP="00E546E2">
                      <w:pPr>
                        <w:spacing w:after="0"/>
                        <w:rPr>
                          <w:sz w:val="16"/>
                          <w:szCs w:val="16"/>
                        </w:rPr>
                      </w:pPr>
                      <w:r w:rsidRPr="00E122FF">
                        <w:rPr>
                          <w:sz w:val="16"/>
                          <w:szCs w:val="16"/>
                        </w:rPr>
                        <w:t>Approval Date:</w:t>
                      </w:r>
                      <w:r w:rsidRPr="00E122FF">
                        <w:rPr>
                          <w:sz w:val="16"/>
                          <w:szCs w:val="16"/>
                        </w:rPr>
                        <w:tab/>
                      </w:r>
                      <w:proofErr w:type="gramStart"/>
                      <w:r w:rsidR="00823FD1">
                        <w:rPr>
                          <w:sz w:val="16"/>
                          <w:szCs w:val="16"/>
                        </w:rPr>
                        <w:t>September,</w:t>
                      </w:r>
                      <w:proofErr w:type="gramEnd"/>
                      <w:r w:rsidR="00823FD1">
                        <w:rPr>
                          <w:sz w:val="16"/>
                          <w:szCs w:val="16"/>
                        </w:rPr>
                        <w:t xml:space="preserve"> 2021</w:t>
                      </w:r>
                      <w:r w:rsidRPr="00E122FF">
                        <w:rPr>
                          <w:sz w:val="16"/>
                          <w:szCs w:val="16"/>
                        </w:rPr>
                        <w:tab/>
                      </w:r>
                      <w:r w:rsidRPr="00E122FF">
                        <w:rPr>
                          <w:sz w:val="16"/>
                          <w:szCs w:val="16"/>
                        </w:rPr>
                        <w:tab/>
                      </w:r>
                      <w:r w:rsidRPr="00E122FF">
                        <w:rPr>
                          <w:sz w:val="16"/>
                          <w:szCs w:val="16"/>
                        </w:rPr>
                        <w:tab/>
                      </w:r>
                      <w:r w:rsidRPr="00E122FF">
                        <w:rPr>
                          <w:sz w:val="16"/>
                          <w:szCs w:val="16"/>
                        </w:rPr>
                        <w:tab/>
                      </w:r>
                      <w:r w:rsidRPr="00E122FF">
                        <w:rPr>
                          <w:sz w:val="16"/>
                          <w:szCs w:val="16"/>
                        </w:rPr>
                        <w:tab/>
                      </w:r>
                      <w:r w:rsidRPr="00980A3B">
                        <w:rPr>
                          <w:sz w:val="16"/>
                          <w:szCs w:val="16"/>
                        </w:rPr>
                        <w:t>Review Date:</w:t>
                      </w:r>
                      <w:r w:rsidR="00823FD1">
                        <w:rPr>
                          <w:sz w:val="16"/>
                          <w:szCs w:val="16"/>
                        </w:rPr>
                        <w:tab/>
                        <w:t>September, 2024</w:t>
                      </w:r>
                    </w:p>
                    <w:p w14:paraId="024B2042" w14:textId="77777777" w:rsidR="00E546E2" w:rsidRPr="00E122FF" w:rsidRDefault="00E546E2" w:rsidP="00E546E2">
                      <w:pPr>
                        <w:spacing w:after="0"/>
                        <w:rPr>
                          <w:color w:val="FF0000"/>
                          <w:sz w:val="16"/>
                          <w:szCs w:val="16"/>
                        </w:rPr>
                      </w:pPr>
                      <w:r w:rsidRPr="00980A3B">
                        <w:rPr>
                          <w:color w:val="FF0000"/>
                          <w:sz w:val="16"/>
                          <w:szCs w:val="16"/>
                        </w:rPr>
                        <w:t>Not to be used for commercial marketing</w:t>
                      </w:r>
                      <w:r w:rsidRPr="00E122FF">
                        <w:rPr>
                          <w:color w:val="FF0000"/>
                          <w:sz w:val="16"/>
                          <w:szCs w:val="16"/>
                        </w:rPr>
                        <w:t xml:space="preserve"> purposes.  Strictly for use within the NHS.  NOTE that all DOACs are available in line with NICE TAs</w:t>
                      </w:r>
                    </w:p>
                    <w:p w14:paraId="172142EB" w14:textId="77777777" w:rsidR="00E546E2" w:rsidRPr="00E122FF" w:rsidRDefault="00E546E2" w:rsidP="00E546E2">
                      <w:pPr>
                        <w:tabs>
                          <w:tab w:val="left" w:pos="2580"/>
                          <w:tab w:val="center" w:pos="4513"/>
                          <w:tab w:val="center" w:pos="7722"/>
                          <w:tab w:val="right" w:pos="9781"/>
                        </w:tabs>
                        <w:spacing w:after="0" w:line="240" w:lineRule="auto"/>
                        <w:ind w:right="-613"/>
                        <w:rPr>
                          <w:rFonts w:eastAsia="Times New Roman"/>
                          <w:color w:val="3366FF"/>
                          <w:sz w:val="16"/>
                          <w:szCs w:val="16"/>
                          <w:lang w:eastAsia="en-GB"/>
                        </w:rPr>
                      </w:pPr>
                      <w:r w:rsidRPr="00E122FF">
                        <w:rPr>
                          <w:rFonts w:eastAsia="Times New Roman"/>
                          <w:color w:val="3366FF"/>
                          <w:sz w:val="16"/>
                          <w:szCs w:val="16"/>
                          <w:lang w:eastAsia="en-GB"/>
                        </w:rPr>
                        <w:t xml:space="preserve">Surrey Heartlands Area Prescribing Committee. A partnership between NHS organisations in Surrey Heartlands Clinical Commissioning Group (the ICPs of East Surrey, </w:t>
                      </w:r>
                    </w:p>
                    <w:p w14:paraId="7210FB06" w14:textId="77777777" w:rsidR="00E546E2" w:rsidRPr="00E122FF" w:rsidRDefault="00E546E2" w:rsidP="00E546E2">
                      <w:pPr>
                        <w:tabs>
                          <w:tab w:val="left" w:pos="2580"/>
                          <w:tab w:val="center" w:pos="4513"/>
                          <w:tab w:val="center" w:pos="7722"/>
                          <w:tab w:val="right" w:pos="9781"/>
                        </w:tabs>
                        <w:spacing w:after="0" w:line="240" w:lineRule="auto"/>
                        <w:ind w:right="-613"/>
                        <w:rPr>
                          <w:rFonts w:eastAsia="Times New Roman"/>
                          <w:color w:val="3366FF"/>
                          <w:sz w:val="16"/>
                          <w:szCs w:val="16"/>
                          <w:lang w:eastAsia="en-GB"/>
                        </w:rPr>
                      </w:pPr>
                      <w:r w:rsidRPr="00E122FF">
                        <w:rPr>
                          <w:rFonts w:eastAsia="Times New Roman"/>
                          <w:color w:val="3366FF"/>
                          <w:sz w:val="16"/>
                          <w:szCs w:val="16"/>
                          <w:lang w:eastAsia="en-GB"/>
                        </w:rPr>
                        <w:t>Guildford and Waverley, Northwest Surrey and Surrey Heath) and Ashford and St Peter’s and the Royal Surrey NHS Acute Foundation Trusts. This guidance was originally developed by Southwest London Medicines’ Optimisation Group (2020) and has been adapted with their permission.</w:t>
                      </w:r>
                    </w:p>
                    <w:p w14:paraId="107B1B3B" w14:textId="77777777" w:rsidR="00E546E2" w:rsidRDefault="00E546E2" w:rsidP="00E546E2"/>
                  </w:txbxContent>
                </v:textbox>
                <w10:wrap type="square"/>
              </v:shape>
            </w:pict>
          </mc:Fallback>
        </mc:AlternateContent>
      </w:r>
    </w:p>
    <w:p w14:paraId="0911287D" w14:textId="77777777" w:rsidR="00E546E2" w:rsidRPr="00550B6B" w:rsidRDefault="00E546E2" w:rsidP="00E546E2">
      <w:pPr>
        <w:spacing w:after="0" w:line="240" w:lineRule="auto"/>
        <w:rPr>
          <w:rFonts w:ascii="Arial" w:hAnsi="Arial" w:cs="Arial"/>
        </w:rPr>
      </w:pPr>
    </w:p>
    <w:p w14:paraId="724B04F8" w14:textId="77777777" w:rsidR="00E546E2" w:rsidRPr="00550B6B" w:rsidRDefault="00E546E2" w:rsidP="00E546E2">
      <w:pPr>
        <w:rPr>
          <w:rFonts w:ascii="Arial" w:hAnsi="Arial" w:cs="Arial"/>
        </w:rPr>
      </w:pPr>
    </w:p>
    <w:p w14:paraId="7A3F27FE" w14:textId="77777777" w:rsidR="00EC3BE2" w:rsidRDefault="00EC3BE2"/>
    <w:sectPr w:rsidR="00EC3BE2" w:rsidSect="002C3C91">
      <w:headerReference w:type="default" r:id="rId11"/>
      <w:footerReference w:type="default" r:id="rId12"/>
      <w:pgSz w:w="11906" w:h="16838"/>
      <w:pgMar w:top="1440" w:right="1134" w:bottom="1440"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0A5D" w14:textId="77777777" w:rsidR="00823FD1" w:rsidRDefault="00823FD1" w:rsidP="00823FD1">
      <w:pPr>
        <w:spacing w:after="0" w:line="240" w:lineRule="auto"/>
      </w:pPr>
      <w:r>
        <w:separator/>
      </w:r>
    </w:p>
  </w:endnote>
  <w:endnote w:type="continuationSeparator" w:id="0">
    <w:p w14:paraId="5660C507" w14:textId="77777777" w:rsidR="00823FD1" w:rsidRDefault="00823FD1" w:rsidP="0082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22381"/>
      <w:docPartObj>
        <w:docPartGallery w:val="Page Numbers (Bottom of Page)"/>
        <w:docPartUnique/>
      </w:docPartObj>
    </w:sdtPr>
    <w:sdtEndPr>
      <w:rPr>
        <w:noProof/>
      </w:rPr>
    </w:sdtEndPr>
    <w:sdtContent>
      <w:p w14:paraId="0A75B243" w14:textId="3B7AACA9" w:rsidR="00823FD1" w:rsidRDefault="00823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7ABD9" w14:textId="77777777" w:rsidR="00823FD1" w:rsidRDefault="0082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F7C2" w14:textId="77777777" w:rsidR="00823FD1" w:rsidRDefault="00823FD1" w:rsidP="00823FD1">
      <w:pPr>
        <w:spacing w:after="0" w:line="240" w:lineRule="auto"/>
      </w:pPr>
      <w:r>
        <w:separator/>
      </w:r>
    </w:p>
  </w:footnote>
  <w:footnote w:type="continuationSeparator" w:id="0">
    <w:p w14:paraId="390CE975" w14:textId="77777777" w:rsidR="00823FD1" w:rsidRDefault="00823FD1" w:rsidP="0082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8B4F" w14:textId="5E7B55CD" w:rsidR="002C3C91" w:rsidRDefault="002C3C91" w:rsidP="002C3C91">
    <w:pPr>
      <w:pStyle w:val="Header"/>
      <w:jc w:val="right"/>
    </w:pPr>
    <w:r w:rsidRPr="00550B6B">
      <w:rPr>
        <w:rFonts w:ascii="Arial" w:hAnsi="Arial" w:cs="Arial"/>
        <w:noProof/>
      </w:rPr>
      <w:drawing>
        <wp:anchor distT="0" distB="0" distL="114300" distR="114300" simplePos="0" relativeHeight="251659264" behindDoc="0" locked="0" layoutInCell="1" allowOverlap="1" wp14:anchorId="3C977676" wp14:editId="7DA3C841">
          <wp:simplePos x="0" y="0"/>
          <wp:positionH relativeFrom="column">
            <wp:posOffset>4505325</wp:posOffset>
          </wp:positionH>
          <wp:positionV relativeFrom="paragraph">
            <wp:posOffset>-57785</wp:posOffset>
          </wp:positionV>
          <wp:extent cx="1733550" cy="619753"/>
          <wp:effectExtent l="0" t="0" r="0" b="9525"/>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6197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2CD"/>
    <w:multiLevelType w:val="hybridMultilevel"/>
    <w:tmpl w:val="62501B96"/>
    <w:lvl w:ilvl="0" w:tplc="A176A7CC">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1" w15:restartNumberingAfterBreak="0">
    <w:nsid w:val="30D34A5A"/>
    <w:multiLevelType w:val="hybridMultilevel"/>
    <w:tmpl w:val="5A9C72EA"/>
    <w:lvl w:ilvl="0" w:tplc="A176A7CC">
      <w:start w:val="1"/>
      <w:numFmt w:val="bullet"/>
      <w:lvlText w:val="o"/>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6050A1"/>
    <w:multiLevelType w:val="hybridMultilevel"/>
    <w:tmpl w:val="0DB63EE0"/>
    <w:lvl w:ilvl="0" w:tplc="A176A7CC">
      <w:start w:val="1"/>
      <w:numFmt w:val="bullet"/>
      <w:lvlText w:val="o"/>
      <w:lvlJc w:val="left"/>
      <w:pPr>
        <w:ind w:left="76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9642D"/>
    <w:multiLevelType w:val="hybridMultilevel"/>
    <w:tmpl w:val="CD5E33EC"/>
    <w:lvl w:ilvl="0" w:tplc="A176A7CC">
      <w:start w:val="1"/>
      <w:numFmt w:val="bullet"/>
      <w:lvlText w:val="o"/>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E2"/>
    <w:rsid w:val="0003477E"/>
    <w:rsid w:val="000D246B"/>
    <w:rsid w:val="001B31BE"/>
    <w:rsid w:val="00200DEF"/>
    <w:rsid w:val="002C3C91"/>
    <w:rsid w:val="005361DB"/>
    <w:rsid w:val="00633FA1"/>
    <w:rsid w:val="00823FD1"/>
    <w:rsid w:val="00850634"/>
    <w:rsid w:val="0090426E"/>
    <w:rsid w:val="0093723F"/>
    <w:rsid w:val="00CB6E0C"/>
    <w:rsid w:val="00D014F8"/>
    <w:rsid w:val="00E27733"/>
    <w:rsid w:val="00E546E2"/>
    <w:rsid w:val="00E8315A"/>
    <w:rsid w:val="00EC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6AEF"/>
  <w15:chartTrackingRefBased/>
  <w15:docId w15:val="{743F0002-311B-44B4-BF79-BA149A77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46E2"/>
    <w:rPr>
      <w:color w:val="0000FF"/>
      <w:u w:val="single"/>
    </w:rPr>
  </w:style>
  <w:style w:type="paragraph" w:styleId="ListParagraph">
    <w:name w:val="List Paragraph"/>
    <w:basedOn w:val="Normal"/>
    <w:uiPriority w:val="34"/>
    <w:qFormat/>
    <w:rsid w:val="00E546E2"/>
    <w:pPr>
      <w:spacing w:after="160" w:line="259" w:lineRule="auto"/>
      <w:ind w:left="720"/>
      <w:contextualSpacing/>
    </w:pPr>
  </w:style>
  <w:style w:type="character" w:styleId="CommentReference">
    <w:name w:val="annotation reference"/>
    <w:basedOn w:val="DefaultParagraphFont"/>
    <w:uiPriority w:val="99"/>
    <w:semiHidden/>
    <w:unhideWhenUsed/>
    <w:rsid w:val="0093723F"/>
    <w:rPr>
      <w:sz w:val="16"/>
      <w:szCs w:val="16"/>
    </w:rPr>
  </w:style>
  <w:style w:type="paragraph" w:styleId="CommentText">
    <w:name w:val="annotation text"/>
    <w:basedOn w:val="Normal"/>
    <w:link w:val="CommentTextChar"/>
    <w:uiPriority w:val="99"/>
    <w:semiHidden/>
    <w:unhideWhenUsed/>
    <w:rsid w:val="0093723F"/>
    <w:pPr>
      <w:spacing w:line="240" w:lineRule="auto"/>
    </w:pPr>
    <w:rPr>
      <w:sz w:val="20"/>
      <w:szCs w:val="20"/>
    </w:rPr>
  </w:style>
  <w:style w:type="character" w:customStyle="1" w:styleId="CommentTextChar">
    <w:name w:val="Comment Text Char"/>
    <w:basedOn w:val="DefaultParagraphFont"/>
    <w:link w:val="CommentText"/>
    <w:uiPriority w:val="99"/>
    <w:semiHidden/>
    <w:rsid w:val="009372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723F"/>
    <w:rPr>
      <w:b/>
      <w:bCs/>
    </w:rPr>
  </w:style>
  <w:style w:type="character" w:customStyle="1" w:styleId="CommentSubjectChar">
    <w:name w:val="Comment Subject Char"/>
    <w:basedOn w:val="CommentTextChar"/>
    <w:link w:val="CommentSubject"/>
    <w:uiPriority w:val="99"/>
    <w:semiHidden/>
    <w:rsid w:val="0093723F"/>
    <w:rPr>
      <w:rFonts w:ascii="Calibri" w:eastAsia="Calibri" w:hAnsi="Calibri" w:cs="Times New Roman"/>
      <w:b/>
      <w:bCs/>
      <w:sz w:val="20"/>
      <w:szCs w:val="20"/>
    </w:rPr>
  </w:style>
  <w:style w:type="paragraph" w:styleId="Header">
    <w:name w:val="header"/>
    <w:basedOn w:val="Normal"/>
    <w:link w:val="HeaderChar"/>
    <w:uiPriority w:val="99"/>
    <w:unhideWhenUsed/>
    <w:rsid w:val="0082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FD1"/>
    <w:rPr>
      <w:rFonts w:ascii="Calibri" w:eastAsia="Calibri" w:hAnsi="Calibri" w:cs="Times New Roman"/>
    </w:rPr>
  </w:style>
  <w:style w:type="paragraph" w:styleId="Footer">
    <w:name w:val="footer"/>
    <w:basedOn w:val="Normal"/>
    <w:link w:val="FooterChar"/>
    <w:uiPriority w:val="99"/>
    <w:unhideWhenUsed/>
    <w:rsid w:val="0082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F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BF23-DC79-44DA-B8EE-F2ABCFE3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HARGREAVES, Lynne (NHS SURREY HEARTLANDS CCG)</dc:creator>
  <cp:keywords/>
  <dc:description/>
  <cp:lastModifiedBy>Claridge Rachel (NHS Surrey Heartlands CCG)</cp:lastModifiedBy>
  <cp:revision>5</cp:revision>
  <dcterms:created xsi:type="dcterms:W3CDTF">2021-09-29T08:47:00Z</dcterms:created>
  <dcterms:modified xsi:type="dcterms:W3CDTF">2021-11-30T16:20:00Z</dcterms:modified>
</cp:coreProperties>
</file>